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005" w:rsidRPr="00073005" w:rsidRDefault="00073005" w:rsidP="00073005">
      <w:pPr>
        <w:shd w:val="clear" w:color="auto" w:fill="FFFFFF"/>
        <w:spacing w:after="225"/>
        <w:textAlignment w:val="baseline"/>
        <w:outlineLvl w:val="0"/>
        <w:rPr>
          <w:rFonts w:ascii="Source Sans Pro" w:eastAsia="Times New Roman" w:hAnsi="Source Sans Pro" w:cs="Times New Roman"/>
          <w:b/>
          <w:bCs/>
          <w:color w:val="222222"/>
          <w:spacing w:val="-3"/>
          <w:kern w:val="36"/>
          <w:sz w:val="48"/>
          <w:szCs w:val="48"/>
          <w:lang w:eastAsia="nb-NO"/>
        </w:rPr>
      </w:pPr>
      <w:r w:rsidRPr="00073005">
        <w:rPr>
          <w:rFonts w:ascii="Source Sans Pro" w:eastAsia="Times New Roman" w:hAnsi="Source Sans Pro" w:cs="Times New Roman"/>
          <w:b/>
          <w:bCs/>
          <w:color w:val="222222"/>
          <w:spacing w:val="-3"/>
          <w:kern w:val="36"/>
          <w:sz w:val="48"/>
          <w:szCs w:val="48"/>
          <w:lang w:eastAsia="nb-NO"/>
        </w:rPr>
        <w:t xml:space="preserve">Handlingsplan for universell utforming av læringsmiljøet ved Høgskolen i Østfold 2020 – 2024 </w:t>
      </w:r>
    </w:p>
    <w:p w:rsidR="00B34EAE" w:rsidRDefault="00B34EAE"/>
    <w:p w:rsidR="00073005" w:rsidRPr="00073005" w:rsidRDefault="00073005" w:rsidP="00073005">
      <w:pPr>
        <w:rPr>
          <w:rFonts w:ascii="Times New Roman" w:eastAsia="Times New Roman" w:hAnsi="Times New Roman" w:cs="Times New Roman"/>
          <w:lang w:eastAsia="nb-NO"/>
        </w:rPr>
      </w:pPr>
      <w:r w:rsidRPr="00073005">
        <w:rPr>
          <w:rFonts w:ascii="Source Sans Pro" w:eastAsia="Times New Roman" w:hAnsi="Source Sans Pro" w:cs="Times New Roman"/>
          <w:color w:val="354052"/>
          <w:spacing w:val="-2"/>
          <w:sz w:val="27"/>
          <w:szCs w:val="27"/>
          <w:shd w:val="clear" w:color="auto" w:fill="FFFFFF"/>
          <w:lang w:eastAsia="nb-NO"/>
        </w:rPr>
        <w:t xml:space="preserve">Læringsmiljøet ved Høgskolen i Østfold skal være utformet slik at det skaper færrest mulig barrierer for våre studenter. For å sikre optimal tilgjengelighet uten behov for særløsninger, innebærer dette at prinsippet om universell utforming skal ha forrang i alle våre </w:t>
      </w:r>
      <w:proofErr w:type="spellStart"/>
      <w:r w:rsidRPr="00073005">
        <w:rPr>
          <w:rFonts w:ascii="Source Sans Pro" w:eastAsia="Times New Roman" w:hAnsi="Source Sans Pro" w:cs="Times New Roman"/>
          <w:color w:val="354052"/>
          <w:spacing w:val="-2"/>
          <w:sz w:val="27"/>
          <w:szCs w:val="27"/>
          <w:shd w:val="clear" w:color="auto" w:fill="FFFFFF"/>
          <w:lang w:eastAsia="nb-NO"/>
        </w:rPr>
        <w:t>hovedløsninger</w:t>
      </w:r>
      <w:proofErr w:type="spellEnd"/>
      <w:r w:rsidRPr="00073005">
        <w:rPr>
          <w:rFonts w:ascii="Source Sans Pro" w:eastAsia="Times New Roman" w:hAnsi="Source Sans Pro" w:cs="Times New Roman"/>
          <w:color w:val="354052"/>
          <w:spacing w:val="-2"/>
          <w:sz w:val="27"/>
          <w:szCs w:val="27"/>
          <w:shd w:val="clear" w:color="auto" w:fill="FFFFFF"/>
          <w:lang w:eastAsia="nb-NO"/>
        </w:rPr>
        <w:t>. For enkelte er universell utforming en absolutt nødvendighet, samtidig som dette gir økt kvalitet og en bedre brukeropplevelse for alle. Handlingsplanen er ett av høgskolens virkemidler for å imøtekomme likestillings - og diskrimineringsloven (§18 og §19) som pålegger offentlige virksomheter å arbeide aktivt og målrettet for å fremme universell utforming og da med et særlig fokus på IKT.</w:t>
      </w:r>
    </w:p>
    <w:p w:rsidR="00073005" w:rsidRDefault="00073005"/>
    <w:p w:rsidR="00B21959" w:rsidRPr="00B21959" w:rsidRDefault="00B21959"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r w:rsidRPr="00B21959">
        <w:rPr>
          <w:rFonts w:ascii="Source Sans Pro" w:eastAsia="Times New Roman" w:hAnsi="Source Sans Pro" w:cs="Times New Roman"/>
          <w:color w:val="000000"/>
          <w:spacing w:val="-2"/>
          <w:lang w:eastAsia="nb-NO"/>
        </w:rPr>
        <w:t>Handlingsplanen skal sørge for en systematisk samordning av høgskolens innsats, både som virkemiddel for å imøtekomme lovverket på en tilfredsstillende måte, samt for å øke kunnskapsnivået om universell utforming og betydningen av dette. Universell utforming er en strategi som gir grunnlag for å kunne konkretisere kvaliteter i produkter, tjenester og omgivelser slik at de skal kunne brukes på en likestilt måte.</w:t>
      </w:r>
    </w:p>
    <w:p w:rsidR="00B21959" w:rsidRPr="00B21959" w:rsidRDefault="00B21959"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r w:rsidRPr="00B21959">
        <w:rPr>
          <w:rFonts w:ascii="Source Sans Pro" w:eastAsia="Times New Roman" w:hAnsi="Source Sans Pro" w:cs="Times New Roman"/>
          <w:color w:val="000000"/>
          <w:spacing w:val="-2"/>
          <w:lang w:eastAsia="nb-NO"/>
        </w:rPr>
        <w:t>Læringsmiljøet ved Høgskolen i Østfold omhandler digitale, fysiske, organisatoriske, psykososiale og pedagogiske forhold. Handlingsplanens satsningsområder for perioden omfatter mål og tiltak knyttet til det fysiske og digitale læringsmiljøet, hvor deres virkeområder bygger opp under et helhetlig læringsmiljø som er åpent, tilgjengelig og mangfoldig. Disse to områdene er i planperioden valgt ut som prioritet med bakgrunn i blant annet skjerpede lovkrav til universell utforming av IKT og et tydelig engasjement fra studentene knyttet til økt tilgjengelighet av det fysiske læringsmiljøet. </w:t>
      </w:r>
    </w:p>
    <w:p w:rsidR="00B21959" w:rsidRDefault="00B21959" w:rsidP="00B21959">
      <w:pPr>
        <w:shd w:val="clear" w:color="auto" w:fill="FFFFFF"/>
        <w:textAlignment w:val="baseline"/>
        <w:rPr>
          <w:rFonts w:ascii="Source Sans Pro" w:eastAsia="Times New Roman" w:hAnsi="Source Sans Pro" w:cs="Times New Roman"/>
          <w:color w:val="000000"/>
          <w:spacing w:val="-2"/>
          <w:lang w:eastAsia="nb-NO"/>
        </w:rPr>
      </w:pPr>
      <w:r w:rsidRPr="00B21959">
        <w:rPr>
          <w:rFonts w:ascii="Source Sans Pro" w:eastAsia="Times New Roman" w:hAnsi="Source Sans Pro" w:cs="Times New Roman"/>
          <w:color w:val="000000"/>
          <w:spacing w:val="-2"/>
          <w:lang w:eastAsia="nb-NO"/>
        </w:rPr>
        <w:t>Planen omfatter ikke mål og tiltak knyttet til tilrettelegging. Her henvises det til eksisterende rutiner og tjenesteapparat som skal ivareta den enkelte students særskilte behov i de tilfeller hvor studiesituasjonen krever </w:t>
      </w:r>
      <w:hyperlink r:id="rId5" w:history="1">
        <w:r w:rsidRPr="00B21959">
          <w:rPr>
            <w:rFonts w:ascii="Source Sans Pro" w:eastAsia="Times New Roman" w:hAnsi="Source Sans Pro" w:cs="Times New Roman"/>
            <w:color w:val="347E84"/>
            <w:spacing w:val="-2"/>
            <w:u w:val="single"/>
            <w:bdr w:val="none" w:sz="0" w:space="0" w:color="auto" w:frame="1"/>
            <w:lang w:eastAsia="nb-NO"/>
          </w:rPr>
          <w:t>tilrettelegging</w:t>
        </w:r>
      </w:hyperlink>
      <w:r w:rsidRPr="00B21959">
        <w:rPr>
          <w:rFonts w:ascii="Source Sans Pro" w:eastAsia="Times New Roman" w:hAnsi="Source Sans Pro" w:cs="Times New Roman"/>
          <w:color w:val="000000"/>
          <w:spacing w:val="-2"/>
          <w:lang w:eastAsia="nb-NO"/>
        </w:rPr>
        <w:t>. Et sentralt mål med handlingsplanen er imidlertid å bidra til færre behov for spesialløsninger slik at virksomhetens alminnelige funksjoner kan benyttes av flest mulig.</w:t>
      </w:r>
    </w:p>
    <w:p w:rsidR="00B21959" w:rsidRPr="00B21959" w:rsidRDefault="00B21959" w:rsidP="00B21959">
      <w:pPr>
        <w:shd w:val="clear" w:color="auto" w:fill="FFFFFF"/>
        <w:textAlignment w:val="baseline"/>
        <w:rPr>
          <w:rFonts w:ascii="Source Sans Pro" w:eastAsia="Times New Roman" w:hAnsi="Source Sans Pro" w:cs="Times New Roman"/>
          <w:color w:val="000000"/>
          <w:spacing w:val="-2"/>
          <w:lang w:eastAsia="nb-NO"/>
        </w:rPr>
      </w:pPr>
    </w:p>
    <w:p w:rsidR="00B21959" w:rsidRPr="00B21959" w:rsidRDefault="00B21959"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r w:rsidRPr="00B21959">
        <w:rPr>
          <w:rFonts w:ascii="Source Sans Pro" w:eastAsia="Times New Roman" w:hAnsi="Source Sans Pro" w:cs="Times New Roman"/>
          <w:color w:val="000000"/>
          <w:spacing w:val="-2"/>
          <w:lang w:eastAsia="nb-NO"/>
        </w:rPr>
        <w:t>Universell utforming er et tverrfaglig kunnskapsfelt, og kan betraktes både som en visjon, strategi og et virkemiddel som bygger på en grunnleggende verd i om at alle mennesker er likeverdige. En rekke lover og forskrifter regulerer kravet om universell utforming, og er således styrende og lagt til grunn for handlingsplanen. Likeverdig deltakelse er grunnleggende for demokratiet. Et universelt utformet samfunn bidrar til å sikre dette.</w:t>
      </w:r>
    </w:p>
    <w:p w:rsidR="00B21959" w:rsidRDefault="00B21959"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r w:rsidRPr="00B21959">
        <w:rPr>
          <w:rFonts w:ascii="Source Sans Pro" w:eastAsia="Times New Roman" w:hAnsi="Source Sans Pro" w:cs="Times New Roman"/>
          <w:color w:val="000000"/>
          <w:spacing w:val="-2"/>
          <w:lang w:eastAsia="nb-NO"/>
        </w:rPr>
        <w:lastRenderedPageBreak/>
        <w:t>Handlingsplanen er forankret i høgskolens Aktivitetsplan og budsjett for 2019 og følges opp av institusjonens Læringsmiljøutvalg som en del av utvalgets årsrapport til Styret. Neste revisjon av handlingsplanen er satt til utgangen av 2023 eller ved endringer i lovverket eller interne retningslinjer. Alle tiltak i handlingsplanen er ansvarliggjort på leder 2 nivå i organisasjonen.</w:t>
      </w:r>
    </w:p>
    <w:p w:rsidR="00B21959" w:rsidRPr="00B21959" w:rsidRDefault="00B21959"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r w:rsidRPr="00B21959">
        <w:rPr>
          <w:rFonts w:ascii="Source Sans Pro" w:eastAsia="Times New Roman" w:hAnsi="Source Sans Pro" w:cs="Times New Roman"/>
          <w:color w:val="000000"/>
          <w:spacing w:val="-2"/>
          <w:lang w:eastAsia="nb-NO"/>
        </w:rPr>
        <w:t>Bakgrunnsdokumenter for arbeidet med handlingsplanen:</w:t>
      </w:r>
    </w:p>
    <w:p w:rsidR="00B21959" w:rsidRDefault="00B15867" w:rsidP="00B21959">
      <w:pPr>
        <w:shd w:val="clear" w:color="auto" w:fill="FFFFFF"/>
        <w:textAlignment w:val="baseline"/>
        <w:rPr>
          <w:rFonts w:ascii="Source Sans Pro" w:eastAsia="Times New Roman" w:hAnsi="Source Sans Pro" w:cs="Times New Roman"/>
          <w:color w:val="000000"/>
          <w:spacing w:val="-2"/>
          <w:lang w:eastAsia="nb-NO"/>
        </w:rPr>
      </w:pPr>
      <w:hyperlink r:id="rId6" w:history="1">
        <w:r w:rsidR="00B21959" w:rsidRPr="00B21959">
          <w:rPr>
            <w:rFonts w:ascii="Source Sans Pro" w:eastAsia="Times New Roman" w:hAnsi="Source Sans Pro" w:cs="Times New Roman"/>
            <w:color w:val="347E84"/>
            <w:spacing w:val="-2"/>
            <w:u w:val="single"/>
            <w:bdr w:val="none" w:sz="0" w:space="0" w:color="auto" w:frame="1"/>
            <w:lang w:eastAsia="nb-NO"/>
          </w:rPr>
          <w:t>Mandat og fremdriftsplan for revisjon av handlingsplan for universell utforming</w:t>
        </w:r>
      </w:hyperlink>
    </w:p>
    <w:p w:rsidR="00B21959" w:rsidRPr="00B21959" w:rsidRDefault="00B21959" w:rsidP="00B21959">
      <w:pPr>
        <w:shd w:val="clear" w:color="auto" w:fill="FFFFFF"/>
        <w:textAlignment w:val="baseline"/>
        <w:rPr>
          <w:rFonts w:ascii="Source Sans Pro" w:eastAsia="Times New Roman" w:hAnsi="Source Sans Pro" w:cs="Times New Roman"/>
          <w:color w:val="000000"/>
          <w:spacing w:val="-2"/>
          <w:lang w:eastAsia="nb-NO"/>
        </w:rPr>
      </w:pPr>
    </w:p>
    <w:p w:rsidR="00B21959" w:rsidRPr="00B21959" w:rsidRDefault="00B15867" w:rsidP="00B21959">
      <w:pPr>
        <w:shd w:val="clear" w:color="auto" w:fill="FFFFFF"/>
        <w:textAlignment w:val="baseline"/>
        <w:rPr>
          <w:rFonts w:ascii="Source Sans Pro" w:eastAsia="Times New Roman" w:hAnsi="Source Sans Pro" w:cs="Times New Roman"/>
          <w:color w:val="000000"/>
          <w:spacing w:val="-2"/>
          <w:lang w:eastAsia="nb-NO"/>
        </w:rPr>
      </w:pPr>
      <w:hyperlink r:id="rId7" w:history="1">
        <w:r w:rsidR="00B21959" w:rsidRPr="00B21959">
          <w:rPr>
            <w:rFonts w:ascii="Source Sans Pro" w:eastAsia="Times New Roman" w:hAnsi="Source Sans Pro" w:cs="Times New Roman"/>
            <w:color w:val="347E84"/>
            <w:spacing w:val="-2"/>
            <w:u w:val="single"/>
            <w:bdr w:val="none" w:sz="0" w:space="0" w:color="auto" w:frame="1"/>
            <w:lang w:eastAsia="nb-NO"/>
          </w:rPr>
          <w:t>Eksisterende handlingsplan for universell utforming (sist revidert mars 2014)</w:t>
        </w:r>
      </w:hyperlink>
    </w:p>
    <w:p w:rsidR="00B21959" w:rsidRDefault="00B21959"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p>
    <w:p w:rsidR="00440724" w:rsidRDefault="00440724" w:rsidP="00440724">
      <w:pPr>
        <w:pStyle w:val="Overskrift2"/>
        <w:shd w:val="clear" w:color="auto" w:fill="FFFFFF"/>
        <w:spacing w:before="0"/>
        <w:textAlignment w:val="baseline"/>
        <w:rPr>
          <w:rStyle w:val="Sterk"/>
          <w:rFonts w:ascii="Source Sans Pro" w:hAnsi="Source Sans Pro"/>
          <w:b w:val="0"/>
          <w:bCs w:val="0"/>
          <w:color w:val="222222"/>
          <w:sz w:val="42"/>
          <w:szCs w:val="42"/>
          <w:bdr w:val="none" w:sz="0" w:space="0" w:color="auto" w:frame="1"/>
        </w:rPr>
      </w:pPr>
      <w:r>
        <w:rPr>
          <w:rStyle w:val="Sterk"/>
          <w:rFonts w:ascii="Source Sans Pro" w:hAnsi="Source Sans Pro"/>
          <w:b w:val="0"/>
          <w:bCs w:val="0"/>
          <w:color w:val="222222"/>
          <w:sz w:val="42"/>
          <w:szCs w:val="42"/>
          <w:bdr w:val="none" w:sz="0" w:space="0" w:color="auto" w:frame="1"/>
        </w:rPr>
        <w:t>Begrepsavklaringer:</w:t>
      </w:r>
    </w:p>
    <w:p w:rsidR="00440724" w:rsidRPr="00440724" w:rsidRDefault="00440724" w:rsidP="00440724"/>
    <w:p w:rsidR="00440724" w:rsidRDefault="00440724" w:rsidP="00440724">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Universell utforming</w:t>
      </w:r>
    </w:p>
    <w:p w:rsidR="00440724" w:rsidRDefault="00440724" w:rsidP="00440724">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Det følger av FNs konvensjon om rettighetene til personer med nedsatt funksjonsevne artikkel 2 at med universell utforming menes utforming av produkter, omgivelser, programmer og tjenester på en slik måte at de kan brukes av alle mennesker, i så stor utstrekning som mulig, uten behov for tilpassing og en spesiell utforming. Samtidig skal universell utforming ikke utelukke hjelpemidler for bestemte grupper av mennesker med nedsatt funksjonsevne når det er behov for det.</w:t>
      </w:r>
    </w:p>
    <w:p w:rsidR="00440724" w:rsidRDefault="00440724" w:rsidP="00440724">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Funksjonsnedsettelse</w:t>
      </w:r>
    </w:p>
    <w:p w:rsidR="00440724" w:rsidRDefault="00440724" w:rsidP="00440724">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 xml:space="preserve">Med funksjonsnedsettelse menes tap av eller skade på en kroppsdel eller i en av kroppens funksjoner, for eksempel om nedsatt bevegelses-, syns- eller hørselsfunksjon, nedsatt kognitiv eller intellektuell funksjon, eller ulike funksjonsnedsettelser på grunn av allergi, hjerte- eller lungesykdommer, jf. </w:t>
      </w:r>
      <w:proofErr w:type="spellStart"/>
      <w:r>
        <w:rPr>
          <w:rFonts w:ascii="Source Sans Pro" w:hAnsi="Source Sans Pro"/>
          <w:color w:val="000000"/>
          <w:spacing w:val="-2"/>
        </w:rPr>
        <w:t>Prop</w:t>
      </w:r>
      <w:proofErr w:type="spellEnd"/>
      <w:r>
        <w:rPr>
          <w:rFonts w:ascii="Source Sans Pro" w:hAnsi="Source Sans Pro"/>
          <w:color w:val="000000"/>
          <w:spacing w:val="-2"/>
        </w:rPr>
        <w:t xml:space="preserve">. 81 L (2016-2017) Lov om likestilling og forbud mot diskriminering (likestillings- og diskrimineringsloven) pkt. 30 s. 313. Psykiske lidelser som for eksempel depresjon eller bipolare lidelser er også omfattet. Funksjonsnedsettelse må avgrenses mot forbigående og/eller bagatellmessige forhold, jf. </w:t>
      </w:r>
      <w:proofErr w:type="spellStart"/>
      <w:r>
        <w:rPr>
          <w:rFonts w:ascii="Source Sans Pro" w:hAnsi="Source Sans Pro"/>
          <w:color w:val="000000"/>
          <w:spacing w:val="-2"/>
        </w:rPr>
        <w:t>Prop</w:t>
      </w:r>
      <w:proofErr w:type="spellEnd"/>
      <w:r>
        <w:rPr>
          <w:rFonts w:ascii="Source Sans Pro" w:hAnsi="Source Sans Pro"/>
          <w:color w:val="000000"/>
          <w:spacing w:val="-2"/>
        </w:rPr>
        <w:t>. 81 pkt. 30 s. 313. </w:t>
      </w:r>
    </w:p>
    <w:p w:rsidR="00440724" w:rsidRDefault="00440724" w:rsidP="00440724">
      <w:pPr>
        <w:pStyle w:val="Overskrift2"/>
        <w:shd w:val="clear" w:color="auto" w:fill="FFFFFF"/>
        <w:spacing w:before="0"/>
        <w:textAlignment w:val="baseline"/>
        <w:rPr>
          <w:rStyle w:val="Sterk"/>
          <w:rFonts w:ascii="Source Sans Pro" w:hAnsi="Source Sans Pro"/>
          <w:b w:val="0"/>
          <w:bCs w:val="0"/>
          <w:color w:val="222222"/>
          <w:sz w:val="42"/>
          <w:szCs w:val="42"/>
          <w:bdr w:val="none" w:sz="0" w:space="0" w:color="auto" w:frame="1"/>
        </w:rPr>
      </w:pPr>
      <w:r>
        <w:rPr>
          <w:rStyle w:val="Sterk"/>
          <w:rFonts w:ascii="Source Sans Pro" w:hAnsi="Source Sans Pro"/>
          <w:b w:val="0"/>
          <w:bCs w:val="0"/>
          <w:color w:val="222222"/>
          <w:sz w:val="42"/>
          <w:szCs w:val="42"/>
          <w:bdr w:val="none" w:sz="0" w:space="0" w:color="auto" w:frame="1"/>
        </w:rPr>
        <w:t>Styrende dokumenter:</w:t>
      </w:r>
    </w:p>
    <w:p w:rsidR="00440724" w:rsidRPr="00440724" w:rsidRDefault="00440724" w:rsidP="00440724"/>
    <w:p w:rsidR="00440724" w:rsidRDefault="00440724" w:rsidP="00440724">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Aktuelle lover og forskrifter</w:t>
      </w:r>
    </w:p>
    <w:p w:rsidR="00440724" w:rsidRDefault="00B15867" w:rsidP="00440724">
      <w:pPr>
        <w:numPr>
          <w:ilvl w:val="0"/>
          <w:numId w:val="1"/>
        </w:numPr>
        <w:shd w:val="clear" w:color="auto" w:fill="FFFFFF"/>
        <w:ind w:left="684"/>
        <w:textAlignment w:val="baseline"/>
        <w:rPr>
          <w:rFonts w:ascii="Source Sans Pro" w:hAnsi="Source Sans Pro"/>
          <w:color w:val="000000"/>
          <w:spacing w:val="-2"/>
        </w:rPr>
      </w:pPr>
      <w:hyperlink r:id="rId8" w:history="1">
        <w:r w:rsidR="00440724">
          <w:rPr>
            <w:rStyle w:val="Hyperkobling"/>
            <w:rFonts w:ascii="Source Sans Pro" w:hAnsi="Source Sans Pro"/>
            <w:color w:val="347E84"/>
            <w:spacing w:val="-2"/>
            <w:bdr w:val="none" w:sz="0" w:space="0" w:color="auto" w:frame="1"/>
          </w:rPr>
          <w:t>Lov om universiteter og høyskoler (universitets- og høgskoleloven)</w:t>
        </w:r>
      </w:hyperlink>
      <w:r w:rsidR="00440724">
        <w:rPr>
          <w:rFonts w:ascii="Source Sans Pro" w:hAnsi="Source Sans Pro"/>
          <w:color w:val="000000"/>
          <w:spacing w:val="-2"/>
        </w:rPr>
        <w:t xml:space="preserve">. Det fysiske læringsmiljøet skal så langt det er mulig og rimelig, være utformet etter prinsippet om universell utforming. Studenter med funksjonsnedsettelse og studenter med særskilte behov har rett til egnet individuell tilrettelegging av lærested, undervisning, læremidler og eksamen, for å sikre likeverdige opplærings- og utdanningsmuligheter, hvor det i forarbeidene til loven presiseres at tilrettelegging ofte kan bety universelt </w:t>
      </w:r>
      <w:r w:rsidR="00440724">
        <w:rPr>
          <w:rFonts w:ascii="Source Sans Pro" w:hAnsi="Source Sans Pro"/>
          <w:color w:val="000000"/>
          <w:spacing w:val="-2"/>
        </w:rPr>
        <w:lastRenderedPageBreak/>
        <w:t>utformede løsninger. Tilretteleggingen må ikke føre til en reduksjon av de faglige krav som stilles ved det enkelte studium.</w:t>
      </w:r>
    </w:p>
    <w:p w:rsidR="00440724" w:rsidRDefault="00B15867" w:rsidP="00440724">
      <w:pPr>
        <w:numPr>
          <w:ilvl w:val="0"/>
          <w:numId w:val="1"/>
        </w:numPr>
        <w:shd w:val="clear" w:color="auto" w:fill="FFFFFF"/>
        <w:ind w:left="684"/>
        <w:textAlignment w:val="baseline"/>
        <w:rPr>
          <w:rFonts w:ascii="Source Sans Pro" w:hAnsi="Source Sans Pro"/>
          <w:color w:val="000000"/>
          <w:spacing w:val="-2"/>
        </w:rPr>
      </w:pPr>
      <w:hyperlink r:id="rId9" w:history="1">
        <w:r w:rsidR="00440724">
          <w:rPr>
            <w:rStyle w:val="Hyperkobling"/>
            <w:rFonts w:ascii="Source Sans Pro" w:hAnsi="Source Sans Pro"/>
            <w:color w:val="347E84"/>
            <w:spacing w:val="-2"/>
            <w:bdr w:val="none" w:sz="0" w:space="0" w:color="auto" w:frame="1"/>
          </w:rPr>
          <w:t>Lov om likestilling og forbud mot diskriminering (likestillings- og diskrimineringsloven)</w:t>
        </w:r>
      </w:hyperlink>
      <w:r w:rsidR="00440724">
        <w:rPr>
          <w:rFonts w:ascii="Source Sans Pro" w:hAnsi="Source Sans Pro"/>
          <w:color w:val="000000"/>
          <w:spacing w:val="-2"/>
        </w:rPr>
        <w:t xml:space="preserve">. Lovens formål (§1) er å fremme likestilling og hindre diskriminering på grunn av kjønn, graviditet, permisjon ved fødsel eller adopsjon, omsorgsoppgaver, etnisitet, religion, livssyn, funksjonsnedsettelse, seksuell orientering, kjønnsidentitet, kjønnsuttrykk, alder og andre vesentlige forhold ved en person. Med likestilling menes likeverd, like muligheter og like rettigheter. Likestilling forutsetter tilgjengelighet og tilrettelegging. Loven tar særlig sikte på å bedre kvinners og minoriteters stilling. Loven skal bidra til å bygge ned samfunnsskapte </w:t>
      </w:r>
      <w:proofErr w:type="spellStart"/>
      <w:r w:rsidR="00440724">
        <w:rPr>
          <w:rFonts w:ascii="Source Sans Pro" w:hAnsi="Source Sans Pro"/>
          <w:color w:val="000000"/>
          <w:spacing w:val="-2"/>
        </w:rPr>
        <w:t>funksjonshemmende</w:t>
      </w:r>
      <w:proofErr w:type="spellEnd"/>
      <w:r w:rsidR="00440724">
        <w:rPr>
          <w:rFonts w:ascii="Source Sans Pro" w:hAnsi="Source Sans Pro"/>
          <w:color w:val="000000"/>
          <w:spacing w:val="-2"/>
        </w:rPr>
        <w:t xml:space="preserve"> barrierer, og hindre at nye skapes. I §17 og 19 tydeliggjøres virksomheters plikter til universell utforming av virksomhetens alminnelige funksjoner og plikt til å arbeide aktivt for å fremme universell utforming innen virksomheten. I §18 omtales lovkravet knyttet til universell utforming av IKT, hvor det videre i lovens §27 spesifiseres at læremidler og undervisning ved utdanningsinstitusjoner skal bygge på lovens formål.</w:t>
      </w:r>
    </w:p>
    <w:p w:rsidR="00440724" w:rsidRDefault="00B15867" w:rsidP="00440724">
      <w:pPr>
        <w:numPr>
          <w:ilvl w:val="0"/>
          <w:numId w:val="1"/>
        </w:numPr>
        <w:shd w:val="clear" w:color="auto" w:fill="FFFFFF"/>
        <w:ind w:left="684"/>
        <w:textAlignment w:val="baseline"/>
        <w:rPr>
          <w:rFonts w:ascii="Source Sans Pro" w:hAnsi="Source Sans Pro"/>
          <w:color w:val="000000"/>
          <w:spacing w:val="-2"/>
        </w:rPr>
      </w:pPr>
      <w:hyperlink r:id="rId10" w:history="1">
        <w:r w:rsidR="00440724">
          <w:rPr>
            <w:rStyle w:val="Hyperkobling"/>
            <w:rFonts w:ascii="Source Sans Pro" w:hAnsi="Source Sans Pro"/>
            <w:color w:val="347E84"/>
            <w:spacing w:val="-2"/>
            <w:bdr w:val="none" w:sz="0" w:space="0" w:color="auto" w:frame="1"/>
          </w:rPr>
          <w:t>Forskrift om universell utforming av informasjons- og kommunikasjonsteknologiske (IKT)-løsninger </w:t>
        </w:r>
      </w:hyperlink>
      <w:r w:rsidR="00440724">
        <w:rPr>
          <w:rFonts w:ascii="Source Sans Pro" w:hAnsi="Source Sans Pro"/>
          <w:color w:val="000000"/>
          <w:spacing w:val="-2"/>
        </w:rPr>
        <w:t> stiller krav til IKT-løsninger og gjelder nettløsninger, herunder også digitale læremidler og automater</w:t>
      </w:r>
    </w:p>
    <w:p w:rsidR="00440724" w:rsidRDefault="00B15867" w:rsidP="00440724">
      <w:pPr>
        <w:numPr>
          <w:ilvl w:val="0"/>
          <w:numId w:val="1"/>
        </w:numPr>
        <w:shd w:val="clear" w:color="auto" w:fill="FFFFFF"/>
        <w:ind w:left="684"/>
        <w:textAlignment w:val="baseline"/>
        <w:rPr>
          <w:rFonts w:ascii="Source Sans Pro" w:hAnsi="Source Sans Pro"/>
          <w:color w:val="000000"/>
          <w:spacing w:val="-2"/>
        </w:rPr>
      </w:pPr>
      <w:hyperlink r:id="rId11" w:history="1">
        <w:r w:rsidR="00440724">
          <w:rPr>
            <w:rStyle w:val="Hyperkobling"/>
            <w:rFonts w:ascii="Source Sans Pro" w:hAnsi="Source Sans Pro"/>
            <w:color w:val="347E84"/>
            <w:spacing w:val="-2"/>
            <w:bdr w:val="none" w:sz="0" w:space="0" w:color="auto" w:frame="1"/>
          </w:rPr>
          <w:t>Lov om planlegging og byggesaksbehandling (plan- og bygningsloven)</w:t>
        </w:r>
      </w:hyperlink>
      <w:r w:rsidR="00440724">
        <w:rPr>
          <w:rFonts w:ascii="Source Sans Pro" w:hAnsi="Source Sans Pro"/>
          <w:color w:val="000000"/>
          <w:spacing w:val="-2"/>
        </w:rPr>
        <w:t> Loven setter krav til medvirkning, kontroll og tilsyn. Prinsippet om universell utforming er nedfelt i </w:t>
      </w:r>
      <w:hyperlink r:id="rId12" w:history="1">
        <w:r w:rsidR="00440724">
          <w:rPr>
            <w:rStyle w:val="Hyperkobling"/>
            <w:rFonts w:ascii="Source Sans Pro" w:hAnsi="Source Sans Pro"/>
            <w:color w:val="347E84"/>
            <w:spacing w:val="-2"/>
            <w:bdr w:val="none" w:sz="0" w:space="0" w:color="auto" w:frame="1"/>
          </w:rPr>
          <w:t>lovens formålsparagraf (§1-1)</w:t>
        </w:r>
      </w:hyperlink>
      <w:r w:rsidR="00440724">
        <w:rPr>
          <w:rFonts w:ascii="Source Sans Pro" w:hAnsi="Source Sans Pro"/>
          <w:color w:val="000000"/>
          <w:spacing w:val="-2"/>
        </w:rPr>
        <w:t> Loven utdypes i </w:t>
      </w:r>
      <w:hyperlink r:id="rId13" w:history="1">
        <w:r w:rsidR="00440724">
          <w:rPr>
            <w:rStyle w:val="Hyperkobling"/>
            <w:rFonts w:ascii="Source Sans Pro" w:hAnsi="Source Sans Pro"/>
            <w:color w:val="347E84"/>
            <w:spacing w:val="-2"/>
            <w:bdr w:val="none" w:sz="0" w:space="0" w:color="auto" w:frame="1"/>
          </w:rPr>
          <w:t>forskrift om tekniske krav til byggverk (</w:t>
        </w:r>
        <w:proofErr w:type="spellStart"/>
        <w:r w:rsidR="00440724">
          <w:rPr>
            <w:rStyle w:val="Hyperkobling"/>
            <w:rFonts w:ascii="Source Sans Pro" w:hAnsi="Source Sans Pro"/>
            <w:color w:val="347E84"/>
            <w:spacing w:val="-2"/>
            <w:bdr w:val="none" w:sz="0" w:space="0" w:color="auto" w:frame="1"/>
          </w:rPr>
          <w:t>byggteknisk</w:t>
        </w:r>
        <w:proofErr w:type="spellEnd"/>
        <w:r w:rsidR="00440724">
          <w:rPr>
            <w:rStyle w:val="Hyperkobling"/>
            <w:rFonts w:ascii="Source Sans Pro" w:hAnsi="Source Sans Pro"/>
            <w:color w:val="347E84"/>
            <w:spacing w:val="-2"/>
            <w:bdr w:val="none" w:sz="0" w:space="0" w:color="auto" w:frame="1"/>
          </w:rPr>
          <w:t xml:space="preserve"> forskrift) (TEK 17)</w:t>
        </w:r>
      </w:hyperlink>
      <w:r w:rsidR="00440724">
        <w:rPr>
          <w:rFonts w:ascii="Source Sans Pro" w:hAnsi="Source Sans Pro"/>
          <w:color w:val="000000"/>
          <w:spacing w:val="-2"/>
        </w:rPr>
        <w:t>. Tilgjengelighet og universell utforming er tatt inn i flere kapitler, for eksempel når det gjelder uteareal, atkomst, inngangsparti, planløsning og utforming av rom i byggverk.</w:t>
      </w:r>
    </w:p>
    <w:p w:rsidR="00440724" w:rsidRDefault="00B15867" w:rsidP="00440724">
      <w:pPr>
        <w:numPr>
          <w:ilvl w:val="0"/>
          <w:numId w:val="1"/>
        </w:numPr>
        <w:shd w:val="clear" w:color="auto" w:fill="FFFFFF"/>
        <w:ind w:left="684"/>
        <w:textAlignment w:val="baseline"/>
        <w:rPr>
          <w:rFonts w:ascii="Source Sans Pro" w:hAnsi="Source Sans Pro"/>
          <w:color w:val="000000"/>
          <w:spacing w:val="-2"/>
        </w:rPr>
      </w:pPr>
      <w:hyperlink r:id="rId14" w:history="1">
        <w:r w:rsidR="00440724">
          <w:rPr>
            <w:rStyle w:val="Hyperkobling"/>
            <w:rFonts w:ascii="Source Sans Pro" w:hAnsi="Source Sans Pro"/>
            <w:color w:val="347E84"/>
            <w:spacing w:val="-2"/>
            <w:bdr w:val="none" w:sz="0" w:space="0" w:color="auto" w:frame="1"/>
          </w:rPr>
          <w:t>Lov om offentlige anskaffelser (anskaffelsesloven)</w:t>
        </w:r>
      </w:hyperlink>
      <w:r w:rsidR="00440724">
        <w:rPr>
          <w:rFonts w:ascii="Source Sans Pro" w:hAnsi="Source Sans Pro"/>
          <w:color w:val="000000"/>
          <w:spacing w:val="-2"/>
        </w:rPr>
        <w:t> Loven sier at oppdragsgiveren skal stille krav til universell utforming i offentlige kontrakter i samsvar med regler som fastsettes i forskrift.(§6). Dette gjelder alt fra bestilling av kontorstoler til inngåelse av hotellavtaler. Bestillere og leverandører må sette seg inn i hvordan det kan stilles krav om universell utforming i anskaffelser av varer og tjenester i de enkelte tilfeller.</w:t>
      </w:r>
    </w:p>
    <w:p w:rsidR="00440724" w:rsidRDefault="00440724" w:rsidP="00440724">
      <w:pPr>
        <w:numPr>
          <w:ilvl w:val="0"/>
          <w:numId w:val="1"/>
        </w:numPr>
        <w:shd w:val="clear" w:color="auto" w:fill="FFFFFF"/>
        <w:ind w:left="684"/>
        <w:textAlignment w:val="baseline"/>
        <w:rPr>
          <w:rFonts w:ascii="Source Sans Pro" w:hAnsi="Source Sans Pro"/>
          <w:color w:val="000000"/>
          <w:spacing w:val="-2"/>
        </w:rPr>
      </w:pPr>
      <w:r>
        <w:rPr>
          <w:rFonts w:ascii="Source Sans Pro" w:hAnsi="Source Sans Pro"/>
          <w:color w:val="000000"/>
          <w:spacing w:val="-2"/>
        </w:rPr>
        <w:t xml:space="preserve">Tilgjengelighet for </w:t>
      </w:r>
      <w:proofErr w:type="spellStart"/>
      <w:r>
        <w:rPr>
          <w:rFonts w:ascii="Source Sans Pro" w:hAnsi="Source Sans Pro"/>
          <w:color w:val="000000"/>
          <w:spacing w:val="-2"/>
        </w:rPr>
        <w:t>personar</w:t>
      </w:r>
      <w:proofErr w:type="spellEnd"/>
      <w:r>
        <w:rPr>
          <w:rFonts w:ascii="Source Sans Pro" w:hAnsi="Source Sans Pro"/>
          <w:color w:val="000000"/>
          <w:spacing w:val="-2"/>
        </w:rPr>
        <w:t xml:space="preserve"> med nedsett funksjonsevne er delmål i </w:t>
      </w:r>
      <w:hyperlink r:id="rId15" w:history="1">
        <w:r>
          <w:rPr>
            <w:rStyle w:val="Hyperkobling"/>
            <w:rFonts w:ascii="Source Sans Pro" w:hAnsi="Source Sans Pro"/>
            <w:color w:val="347E84"/>
            <w:spacing w:val="-2"/>
            <w:bdr w:val="none" w:sz="0" w:space="0" w:color="auto" w:frame="1"/>
          </w:rPr>
          <w:t>FN sine bærekraftmål for 2030.</w:t>
        </w:r>
      </w:hyperlink>
      <w:r>
        <w:rPr>
          <w:rFonts w:ascii="Source Sans Pro" w:hAnsi="Source Sans Pro"/>
          <w:color w:val="000000"/>
          <w:spacing w:val="-2"/>
        </w:rPr>
        <w:t> Det samme gjelder lik tilgang høyere utdanning.</w:t>
      </w:r>
    </w:p>
    <w:p w:rsidR="00440724" w:rsidRDefault="00B15867" w:rsidP="00440724">
      <w:pPr>
        <w:numPr>
          <w:ilvl w:val="0"/>
          <w:numId w:val="1"/>
        </w:numPr>
        <w:shd w:val="clear" w:color="auto" w:fill="FFFFFF"/>
        <w:ind w:left="684"/>
        <w:textAlignment w:val="baseline"/>
        <w:rPr>
          <w:rFonts w:ascii="Source Sans Pro" w:hAnsi="Source Sans Pro"/>
          <w:color w:val="000000"/>
          <w:spacing w:val="-2"/>
        </w:rPr>
      </w:pPr>
      <w:hyperlink r:id="rId16" w:history="1">
        <w:r w:rsidR="00440724">
          <w:rPr>
            <w:rStyle w:val="Hyperkobling"/>
            <w:rFonts w:ascii="Source Sans Pro" w:hAnsi="Source Sans Pro"/>
            <w:color w:val="347E84"/>
            <w:spacing w:val="-2"/>
            <w:bdr w:val="none" w:sz="0" w:space="0" w:color="auto" w:frame="1"/>
          </w:rPr>
          <w:t>EUs tilgjengelighetsdirektiv</w:t>
        </w:r>
      </w:hyperlink>
      <w:r w:rsidR="00440724">
        <w:rPr>
          <w:rFonts w:ascii="Source Sans Pro" w:hAnsi="Source Sans Pro"/>
          <w:color w:val="000000"/>
          <w:spacing w:val="-2"/>
        </w:rPr>
        <w:t> om tilgjengelighet av varer og tjenester for personer med funksjonsnedsettelse. Direktivet skal gjøre sentrale produkter og tjenester mer tilgjengelig for forbrukeren, og således bidra til et mer inkluderende samfunn og uavhengighet for personer med nedsatt funksjonsevne og eldre. Direktivforslaget skal gjøre det lettere å opprette felles europeiske standarder for universell utforming blant medlemslandene, hvor Europakommisjonen anslår at personer med funksjonsnedsettelser vil øke til 120 millioner innen 2020 som følge av Europas aldrende befolkning.</w:t>
      </w:r>
    </w:p>
    <w:p w:rsidR="00440724" w:rsidRDefault="00440724"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p>
    <w:p w:rsidR="00304C6A" w:rsidRDefault="00304C6A"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p>
    <w:p w:rsidR="00440724" w:rsidRDefault="00440724" w:rsidP="00304C6A">
      <w:pPr>
        <w:pStyle w:val="Overskrift2"/>
        <w:shd w:val="clear" w:color="auto" w:fill="FFFFFF"/>
        <w:spacing w:before="0"/>
        <w:textAlignment w:val="baseline"/>
        <w:rPr>
          <w:rStyle w:val="Sterk"/>
          <w:rFonts w:ascii="Source Sans Pro" w:hAnsi="Source Sans Pro"/>
          <w:b w:val="0"/>
          <w:bCs w:val="0"/>
          <w:color w:val="222222"/>
          <w:sz w:val="42"/>
          <w:szCs w:val="42"/>
          <w:bdr w:val="none" w:sz="0" w:space="0" w:color="auto" w:frame="1"/>
        </w:rPr>
      </w:pPr>
      <w:r>
        <w:rPr>
          <w:rStyle w:val="Sterk"/>
          <w:rFonts w:ascii="Source Sans Pro" w:hAnsi="Source Sans Pro"/>
          <w:b w:val="0"/>
          <w:bCs w:val="0"/>
          <w:color w:val="222222"/>
          <w:sz w:val="42"/>
          <w:szCs w:val="42"/>
          <w:bdr w:val="none" w:sz="0" w:space="0" w:color="auto" w:frame="1"/>
        </w:rPr>
        <w:lastRenderedPageBreak/>
        <w:t>Universell utforming av det fysiske læringsmiljøet:</w:t>
      </w:r>
    </w:p>
    <w:p w:rsidR="00304C6A" w:rsidRPr="00304C6A" w:rsidRDefault="00304C6A" w:rsidP="00304C6A"/>
    <w:p w:rsidR="00304C6A" w:rsidRDefault="00304C6A" w:rsidP="00304C6A">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Definisjon og virkeområde</w:t>
      </w:r>
    </w:p>
    <w:p w:rsidR="00304C6A" w:rsidRDefault="00304C6A" w:rsidP="00304C6A">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Det fysiske læringsmiljøet kjennetegnes av faktorer som gjelder fysiske forhold og omgivelser. De fysiske omgivelsene skal være utformet slik at de legger til rette for gode og inkluderende læringsprosesser for alle, og uten å være til hinder for studiene.</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Utformingen av det fysiske læringsmiljøet vies stor plass i universitets- og høgskoleloven, hvor følgende hovedområder med bakgrunn i §4-3(2) skal være ivaretatt for å ivareta studentenes helse, sikkerhet og velferd, og dertil legges til grunn for handlingsplanen:</w:t>
      </w:r>
    </w:p>
    <w:p w:rsidR="00304C6A" w:rsidRDefault="00304C6A" w:rsidP="00304C6A">
      <w:pPr>
        <w:numPr>
          <w:ilvl w:val="0"/>
          <w:numId w:val="2"/>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Lokaler, adkomstveier, sanitæranlegg og trapper</w:t>
      </w:r>
    </w:p>
    <w:p w:rsidR="00304C6A" w:rsidRDefault="00304C6A" w:rsidP="00304C6A">
      <w:pPr>
        <w:numPr>
          <w:ilvl w:val="0"/>
          <w:numId w:val="2"/>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Lys - og lydforhold, inneklima og luftkvalitet</w:t>
      </w:r>
    </w:p>
    <w:p w:rsidR="00304C6A" w:rsidRDefault="00304C6A" w:rsidP="00304C6A">
      <w:pPr>
        <w:numPr>
          <w:ilvl w:val="0"/>
          <w:numId w:val="2"/>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Tekniske innretninger og utstyr</w:t>
      </w:r>
    </w:p>
    <w:p w:rsidR="00304C6A" w:rsidRDefault="00304C6A" w:rsidP="00304C6A">
      <w:pPr>
        <w:shd w:val="clear" w:color="auto" w:fill="FFFFFF"/>
        <w:spacing w:after="75"/>
        <w:ind w:left="684"/>
        <w:textAlignment w:val="baseline"/>
        <w:rPr>
          <w:rFonts w:ascii="Source Sans Pro" w:hAnsi="Source Sans Pro"/>
          <w:color w:val="000000"/>
          <w:spacing w:val="-2"/>
        </w:rPr>
      </w:pP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Ved studiested Halden er Statsbygg byggeier med ansvar for disse i henhold til lover og forskrifter, samt utvendig, innvendig og teknisk vedlikehold. Høgskolen i Østfold har ansvar for intern tilrettelegging i byggene.</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 xml:space="preserve">Ved studiested Fredrikstad er </w:t>
      </w:r>
      <w:proofErr w:type="spellStart"/>
      <w:r>
        <w:rPr>
          <w:rFonts w:ascii="Source Sans Pro" w:hAnsi="Source Sans Pro"/>
          <w:color w:val="000000"/>
          <w:spacing w:val="-2"/>
        </w:rPr>
        <w:t>Hemfosa</w:t>
      </w:r>
      <w:proofErr w:type="spellEnd"/>
      <w:r>
        <w:rPr>
          <w:rFonts w:ascii="Source Sans Pro" w:hAnsi="Source Sans Pro"/>
          <w:color w:val="000000"/>
          <w:spacing w:val="-2"/>
        </w:rPr>
        <w:t xml:space="preserve"> Samfunnsbygg AS byggeier med ansvar for disse i henhold til lover og forskrifter. </w:t>
      </w:r>
      <w:proofErr w:type="spellStart"/>
      <w:r>
        <w:rPr>
          <w:rFonts w:ascii="Source Sans Pro" w:hAnsi="Source Sans Pro"/>
          <w:color w:val="000000"/>
          <w:spacing w:val="-2"/>
        </w:rPr>
        <w:t>Værste</w:t>
      </w:r>
      <w:proofErr w:type="spellEnd"/>
      <w:r>
        <w:rPr>
          <w:rFonts w:ascii="Source Sans Pro" w:hAnsi="Source Sans Pro"/>
          <w:color w:val="000000"/>
          <w:spacing w:val="-2"/>
        </w:rPr>
        <w:t xml:space="preserve"> AS er ansvarlig for utvendig vedlikehold. Høgskolen i Østfold er ansvarlig for teknisk og innvendig vedlikehold, samt intern tilrettelegging i byggene.</w:t>
      </w:r>
    </w:p>
    <w:p w:rsidR="00304C6A" w:rsidRDefault="00304C6A" w:rsidP="00304C6A">
      <w:pPr>
        <w:shd w:val="clear" w:color="auto" w:fill="FFFFFF"/>
        <w:textAlignment w:val="baseline"/>
        <w:rPr>
          <w:rFonts w:ascii="Source Sans Pro" w:hAnsi="Source Sans Pro"/>
          <w:color w:val="000000"/>
          <w:spacing w:val="-2"/>
        </w:rPr>
      </w:pPr>
      <w:r>
        <w:rPr>
          <w:rFonts w:ascii="Source Sans Pro" w:hAnsi="Source Sans Pro"/>
          <w:color w:val="000000"/>
          <w:spacing w:val="-2"/>
        </w:rPr>
        <w:t>Et sentralt tiltak i handlingsplanen omhandler systematiske vernerunder for studenter knyttet til det fysiske læringsmiljøet. Vernerundene vil ta utgangspunkt i publiserte rapporter for begge studiesteder via sidene </w:t>
      </w:r>
      <w:hyperlink r:id="rId17" w:history="1">
        <w:r>
          <w:rPr>
            <w:rStyle w:val="Hyperkobling"/>
            <w:rFonts w:ascii="Source Sans Pro" w:hAnsi="Source Sans Pro"/>
            <w:color w:val="347E84"/>
            <w:spacing w:val="-2"/>
            <w:bdr w:val="none" w:sz="0" w:space="0" w:color="auto" w:frame="1"/>
          </w:rPr>
          <w:t>www.byggforalle.no</w:t>
        </w:r>
      </w:hyperlink>
      <w:r>
        <w:rPr>
          <w:rFonts w:ascii="Source Sans Pro" w:hAnsi="Source Sans Pro"/>
          <w:color w:val="000000"/>
          <w:spacing w:val="-2"/>
        </w:rPr>
        <w:t>, hvor studentorganisasjonene vil være en sentral og medvirkende part i gjennomføring. Læringsmiljøutvalget vil være en pådriver i dette arbeidet og følge opp både gjennomføring, resultater og eventuelle tiltak.</w:t>
      </w:r>
      <w:r w:rsidR="002764BC">
        <w:rPr>
          <w:rFonts w:ascii="Source Sans Pro" w:hAnsi="Source Sans Pro"/>
          <w:color w:val="000000"/>
          <w:spacing w:val="-2"/>
        </w:rPr>
        <w:t xml:space="preserve"> </w:t>
      </w:r>
      <w:r w:rsidR="002764BC" w:rsidRPr="002764BC">
        <w:rPr>
          <w:rFonts w:ascii="Source Sans Pro" w:hAnsi="Source Sans Pro"/>
          <w:color w:val="000000"/>
          <w:spacing w:val="-2"/>
        </w:rPr>
        <w:t>Vernerunder for studenter skal gjennomføres regelmessig, men en hyppighet på annet hvert år.</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Avvik ved det fysiske læringsmiljøet knyttet til både vernerunder og meldt via høgskolens avvikssystem Si ifra, vil håndteres i henhold til eksisterende rutiner. Avvik som er brudd på gjeldende lovkrav vil bli rettet innen rimelig tid. Øvrige innspill og tilbakemeldinger vil håndteres i henhold til høgskolens aktivitetsplan og budsjettprosess med tilhørende prioriteringer.  </w:t>
      </w:r>
    </w:p>
    <w:p w:rsidR="00304C6A" w:rsidRDefault="00304C6A" w:rsidP="00304C6A">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1.0 Uteområder</w:t>
      </w:r>
    </w:p>
    <w:p w:rsidR="00304C6A" w:rsidRDefault="00304C6A" w:rsidP="00304C6A">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Hovedmål: Høgskolens uteområder skal være tilgjengelig for alle studenter uten hinder for ferdsel.</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lastRenderedPageBreak/>
        <w:t>Delmål: </w:t>
      </w:r>
    </w:p>
    <w:p w:rsidR="00304C6A" w:rsidRDefault="00304C6A" w:rsidP="00304C6A">
      <w:pPr>
        <w:numPr>
          <w:ilvl w:val="0"/>
          <w:numId w:val="3"/>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Alle gjenstander og anretninger skal plasseres slik at de ikke skaper noen form for blokkeringer</w:t>
      </w:r>
    </w:p>
    <w:p w:rsidR="00304C6A" w:rsidRDefault="00304C6A" w:rsidP="00304C6A">
      <w:pPr>
        <w:numPr>
          <w:ilvl w:val="0"/>
          <w:numId w:val="3"/>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 xml:space="preserve">Områder for </w:t>
      </w:r>
      <w:proofErr w:type="spellStart"/>
      <w:r>
        <w:rPr>
          <w:rFonts w:ascii="Source Sans Pro" w:hAnsi="Source Sans Pro"/>
          <w:color w:val="000000"/>
          <w:spacing w:val="-2"/>
        </w:rPr>
        <w:t>hovedferdsel</w:t>
      </w:r>
      <w:proofErr w:type="spellEnd"/>
      <w:r>
        <w:rPr>
          <w:rFonts w:ascii="Source Sans Pro" w:hAnsi="Source Sans Pro"/>
          <w:color w:val="000000"/>
          <w:spacing w:val="-2"/>
        </w:rPr>
        <w:t xml:space="preserve"> skal være godt belyst </w:t>
      </w:r>
    </w:p>
    <w:p w:rsidR="00304C6A" w:rsidRDefault="00304C6A" w:rsidP="00304C6A">
      <w:pPr>
        <w:numPr>
          <w:ilvl w:val="0"/>
          <w:numId w:val="3"/>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Det skal være avsatt et tilstrekkelig antall parkeringsplasser reservert bevegelseshemmede</w:t>
      </w:r>
    </w:p>
    <w:p w:rsidR="00304C6A" w:rsidRDefault="00304C6A" w:rsidP="00304C6A">
      <w:pPr>
        <w:numPr>
          <w:ilvl w:val="0"/>
          <w:numId w:val="3"/>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Inngangspartier skal være trinnfrie, eventuelt lagt til rette på andre måter, og ha et visuelt og taktilt oppmerksomhetsfelt foran hovedinngangsdører</w:t>
      </w:r>
    </w:p>
    <w:p w:rsidR="00304C6A" w:rsidRDefault="00304C6A" w:rsidP="00304C6A">
      <w:pPr>
        <w:numPr>
          <w:ilvl w:val="0"/>
          <w:numId w:val="3"/>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Stolper, rekkverk og lignende skal ha synlig kontrast til omgivelsene</w:t>
      </w:r>
    </w:p>
    <w:p w:rsidR="00304C6A" w:rsidRDefault="00304C6A" w:rsidP="00304C6A">
      <w:pPr>
        <w:numPr>
          <w:ilvl w:val="0"/>
          <w:numId w:val="3"/>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Opparbeidet utendørs nivåforskjell skal være merket visuelt og taktilt</w:t>
      </w:r>
    </w:p>
    <w:p w:rsidR="00304C6A" w:rsidRDefault="00304C6A" w:rsidP="00304C6A">
      <w:pPr>
        <w:numPr>
          <w:ilvl w:val="0"/>
          <w:numId w:val="3"/>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Det skal være plass for rullestol der det anlegges sitteplasser</w:t>
      </w:r>
    </w:p>
    <w:p w:rsidR="00304C6A" w:rsidRDefault="00304C6A" w:rsidP="00304C6A">
      <w:pPr>
        <w:shd w:val="clear" w:color="auto" w:fill="FFFFFF"/>
        <w:spacing w:before="150" w:after="375"/>
        <w:textAlignment w:val="baseline"/>
        <w:rPr>
          <w:rFonts w:ascii="Source Sans Pro" w:hAnsi="Source Sans Pro"/>
          <w:color w:val="000000"/>
          <w:spacing w:val="-2"/>
        </w:rPr>
      </w:pP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Tiltak:</w:t>
      </w:r>
    </w:p>
    <w:p w:rsidR="00304C6A" w:rsidRDefault="00304C6A" w:rsidP="00304C6A">
      <w:pPr>
        <w:numPr>
          <w:ilvl w:val="0"/>
          <w:numId w:val="4"/>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1.1. Det gjennomføres regelmessige vernerunder for studenter knyttet til uteområder (ansvar direktør organisasjons - og tjenesteutvikling)</w:t>
      </w:r>
    </w:p>
    <w:p w:rsidR="00304C6A" w:rsidRDefault="00304C6A" w:rsidP="00304C6A">
      <w:pPr>
        <w:numPr>
          <w:ilvl w:val="0"/>
          <w:numId w:val="4"/>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1.2. Avvik knyttet til uteområder skal håndteres gjennom høgskolens avvikssystem og rettes innen rimelig tid (ansvar leder for campustjenester)</w:t>
      </w:r>
    </w:p>
    <w:p w:rsidR="00304C6A" w:rsidRDefault="00304C6A" w:rsidP="00304C6A">
      <w:pPr>
        <w:shd w:val="clear" w:color="auto" w:fill="FFFFFF"/>
        <w:spacing w:after="75"/>
        <w:ind w:left="324"/>
        <w:textAlignment w:val="baseline"/>
        <w:rPr>
          <w:rFonts w:ascii="Source Sans Pro" w:hAnsi="Source Sans Pro"/>
          <w:color w:val="000000"/>
          <w:spacing w:val="-2"/>
        </w:rPr>
      </w:pPr>
    </w:p>
    <w:p w:rsidR="00304C6A" w:rsidRDefault="00304C6A" w:rsidP="00304C6A">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2.0 Skilting, kortlesere og betjeningspanel</w:t>
      </w:r>
    </w:p>
    <w:p w:rsidR="00304C6A" w:rsidRDefault="00304C6A" w:rsidP="00304C6A">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Hovedmål: Skilt, kortlesere og betjeningspanel skal være utformet og plassert slik at personer med ulike brukerforutsetninger kan lese og håndtere dem. Dette gjelder både mekaniske og IKT-baserte løsninger (TEK17 - § 12-18).</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Delmål: </w:t>
      </w:r>
    </w:p>
    <w:p w:rsidR="00304C6A" w:rsidRDefault="00304C6A" w:rsidP="00304C6A">
      <w:pPr>
        <w:numPr>
          <w:ilvl w:val="0"/>
          <w:numId w:val="5"/>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Informasjon skal være lett å lese og oppfatte, hvor det skal være synlig kontrast mellom tekst og bakgrunn</w:t>
      </w:r>
    </w:p>
    <w:p w:rsidR="00304C6A" w:rsidRDefault="00304C6A" w:rsidP="00304C6A">
      <w:pPr>
        <w:numPr>
          <w:ilvl w:val="0"/>
          <w:numId w:val="5"/>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Viktig informasjon skal være tilgjengelig med tekst og lyd. Taktile tegn kan erstatte lyd</w:t>
      </w:r>
    </w:p>
    <w:p w:rsidR="00304C6A" w:rsidRDefault="00304C6A" w:rsidP="00304C6A">
      <w:pPr>
        <w:numPr>
          <w:ilvl w:val="0"/>
          <w:numId w:val="5"/>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Betjeningspaneler skal være plassert med betjeningshøyde mellom 0,8 m og 1,3 m over det ferdige gulvet</w:t>
      </w:r>
    </w:p>
    <w:p w:rsidR="00304C6A" w:rsidRDefault="00304C6A" w:rsidP="00304C6A">
      <w:pPr>
        <w:numPr>
          <w:ilvl w:val="0"/>
          <w:numId w:val="5"/>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Stikkontakter skal der det er sikkerhetsmessig forsvarlig, i tilstrekkelig grad være plassert slik at de kan betjenes av alle personer</w:t>
      </w:r>
    </w:p>
    <w:p w:rsidR="00304C6A" w:rsidRDefault="00304C6A" w:rsidP="00304C6A">
      <w:pPr>
        <w:numPr>
          <w:ilvl w:val="0"/>
          <w:numId w:val="5"/>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Digitale informasjonstavler skal kunne anvendes også av blinde eller svaksynte</w:t>
      </w:r>
    </w:p>
    <w:p w:rsidR="00304C6A" w:rsidRDefault="00304C6A" w:rsidP="00304C6A">
      <w:pPr>
        <w:numPr>
          <w:ilvl w:val="0"/>
          <w:numId w:val="5"/>
        </w:numPr>
        <w:shd w:val="clear" w:color="auto" w:fill="FFFFFF"/>
        <w:spacing w:after="75"/>
        <w:ind w:left="684"/>
        <w:textAlignment w:val="baseline"/>
        <w:rPr>
          <w:rFonts w:ascii="Source Sans Pro" w:hAnsi="Source Sans Pro"/>
          <w:color w:val="000000"/>
          <w:spacing w:val="-2"/>
        </w:rPr>
      </w:pPr>
      <w:proofErr w:type="spellStart"/>
      <w:r>
        <w:rPr>
          <w:rFonts w:ascii="Source Sans Pro" w:hAnsi="Source Sans Pro"/>
          <w:color w:val="000000"/>
          <w:spacing w:val="-2"/>
        </w:rPr>
        <w:t>Ledelinjer</w:t>
      </w:r>
      <w:proofErr w:type="spellEnd"/>
      <w:r>
        <w:rPr>
          <w:rFonts w:ascii="Source Sans Pro" w:hAnsi="Source Sans Pro"/>
          <w:color w:val="000000"/>
          <w:spacing w:val="-2"/>
        </w:rPr>
        <w:t xml:space="preserve"> skal ha fri ferdsel hvor det ikke er plassert gjenstander som er til hinder</w:t>
      </w:r>
    </w:p>
    <w:p w:rsidR="00304C6A" w:rsidRDefault="00304C6A" w:rsidP="00304C6A">
      <w:pPr>
        <w:shd w:val="clear" w:color="auto" w:fill="FFFFFF"/>
        <w:spacing w:before="150" w:after="375"/>
        <w:textAlignment w:val="baseline"/>
        <w:rPr>
          <w:rFonts w:ascii="Source Sans Pro" w:hAnsi="Source Sans Pro"/>
          <w:color w:val="000000"/>
          <w:spacing w:val="-2"/>
        </w:rPr>
      </w:pPr>
    </w:p>
    <w:p w:rsidR="00304C6A" w:rsidRDefault="00304C6A" w:rsidP="00304C6A">
      <w:pPr>
        <w:shd w:val="clear" w:color="auto" w:fill="FFFFFF"/>
        <w:spacing w:before="150" w:after="375"/>
        <w:textAlignment w:val="baseline"/>
        <w:rPr>
          <w:rFonts w:ascii="Source Sans Pro" w:hAnsi="Source Sans Pro"/>
          <w:color w:val="000000"/>
          <w:spacing w:val="-2"/>
        </w:rPr>
      </w:pP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Tiltak:</w:t>
      </w:r>
    </w:p>
    <w:p w:rsidR="00304C6A" w:rsidRDefault="00304C6A" w:rsidP="00304C6A">
      <w:pPr>
        <w:numPr>
          <w:ilvl w:val="0"/>
          <w:numId w:val="6"/>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2.1. Det gjennomføres regelmessige vernerunder for studenter knyttet til skilting, kortlesere og betjeningspaneler (ansvar direktør organisasjons - og tjenesteutvikling)</w:t>
      </w:r>
    </w:p>
    <w:p w:rsidR="00304C6A" w:rsidRDefault="00304C6A" w:rsidP="00304C6A">
      <w:pPr>
        <w:numPr>
          <w:ilvl w:val="0"/>
          <w:numId w:val="6"/>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2.2. Avvik knyttet til skilting, kortlesere og betjeningspanel skal håndteres gjennom høgskolens avvikssystem og rettes innen rimelig tid (ansvar leder for campustjenester)</w:t>
      </w:r>
    </w:p>
    <w:p w:rsidR="00304C6A" w:rsidRDefault="00304C6A" w:rsidP="00304C6A">
      <w:pPr>
        <w:numPr>
          <w:ilvl w:val="0"/>
          <w:numId w:val="6"/>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2.3. Ved rehabilitering og endringer i bygningsmassen hvor det ikke kreves byggesøknader utformet av eksterne aktører, skal interne sjekklister for ivaretakelse av universell utforming utarbeides og benyttes (ansvar leder for campustjenester)</w:t>
      </w:r>
    </w:p>
    <w:p w:rsidR="00304C6A" w:rsidRDefault="00304C6A" w:rsidP="00304C6A">
      <w:pPr>
        <w:numPr>
          <w:ilvl w:val="0"/>
          <w:numId w:val="6"/>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2.4. Det skal vurderes mobilitetsteknologi for støtte til blinde eller svaksynte (IKT direktør)</w:t>
      </w:r>
    </w:p>
    <w:p w:rsidR="00304C6A" w:rsidRDefault="00304C6A" w:rsidP="00304C6A">
      <w:pPr>
        <w:shd w:val="clear" w:color="auto" w:fill="FFFFFF"/>
        <w:spacing w:before="150" w:after="375"/>
        <w:textAlignment w:val="baseline"/>
        <w:rPr>
          <w:rFonts w:ascii="Source Sans Pro" w:hAnsi="Source Sans Pro"/>
          <w:color w:val="000000"/>
          <w:spacing w:val="-2"/>
        </w:rPr>
      </w:pPr>
    </w:p>
    <w:p w:rsidR="00304C6A" w:rsidRDefault="00304C6A" w:rsidP="00304C6A">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3.0 Undervisningsrom og studentarbeidsplasser</w:t>
      </w:r>
    </w:p>
    <w:p w:rsidR="00304C6A" w:rsidRDefault="00304C6A" w:rsidP="00304C6A">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Hovedmål: Alle studenter skal ha lik mulighet for deltakelse i undervisning og tilgang til egnede arbeidsplasser.</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Delmål:</w:t>
      </w:r>
    </w:p>
    <w:p w:rsidR="00304C6A" w:rsidRDefault="00304C6A" w:rsidP="00304C6A">
      <w:pPr>
        <w:numPr>
          <w:ilvl w:val="0"/>
          <w:numId w:val="7"/>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Alle undervisningsrom skal ha uhindret tilkomst</w:t>
      </w:r>
    </w:p>
    <w:p w:rsidR="00304C6A" w:rsidRDefault="00304C6A" w:rsidP="00304C6A">
      <w:pPr>
        <w:numPr>
          <w:ilvl w:val="0"/>
          <w:numId w:val="7"/>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Det skal være avsatt egnede og likeverdige arealer for bruk av rullestol i alle undervisningsrom</w:t>
      </w:r>
    </w:p>
    <w:p w:rsidR="00304C6A" w:rsidRDefault="00304C6A" w:rsidP="00304C6A">
      <w:pPr>
        <w:shd w:val="clear" w:color="auto" w:fill="FFFFFF"/>
        <w:spacing w:before="150" w:after="375"/>
        <w:textAlignment w:val="baseline"/>
        <w:rPr>
          <w:rFonts w:ascii="Source Sans Pro" w:hAnsi="Source Sans Pro"/>
          <w:color w:val="000000"/>
          <w:spacing w:val="-2"/>
        </w:rPr>
      </w:pP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Tiltak:</w:t>
      </w:r>
    </w:p>
    <w:p w:rsidR="00304C6A" w:rsidRDefault="00304C6A" w:rsidP="00304C6A">
      <w:pPr>
        <w:numPr>
          <w:ilvl w:val="0"/>
          <w:numId w:val="8"/>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3.1. Det gjennomføres regelmessige vernerunder for studenter knyttet til undervisningsrom og studentarbeidsplasser (ansvar direktør organisasjons - og tjenesteutvikling)</w:t>
      </w:r>
    </w:p>
    <w:p w:rsidR="00304C6A" w:rsidRDefault="00304C6A" w:rsidP="00304C6A">
      <w:pPr>
        <w:numPr>
          <w:ilvl w:val="0"/>
          <w:numId w:val="8"/>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3.2. Avvik knyttet til undervisningsrom og studentarbeidsplasser skal håndteres gjennom høgskolens avvikssystem og rettes innen rimelig tid (ansvar leder for campustjenester)</w:t>
      </w:r>
    </w:p>
    <w:p w:rsidR="00304C6A" w:rsidRDefault="00304C6A" w:rsidP="00304C6A">
      <w:pPr>
        <w:numPr>
          <w:ilvl w:val="0"/>
          <w:numId w:val="8"/>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3.3 Ved rehabilitering og endringer i bygningsmassen hvor det ikke kreves byggesøknader utformet av eksterne aktører, skal interne sjekklister for ivaretakelse av universell utforming utarbeides og benyttes (ansvar leder for campustjenester)</w:t>
      </w:r>
    </w:p>
    <w:p w:rsidR="00304C6A" w:rsidRDefault="00304C6A" w:rsidP="00304C6A">
      <w:pPr>
        <w:numPr>
          <w:ilvl w:val="0"/>
          <w:numId w:val="8"/>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3.4. Installere motoriserte døråpnere til undervisningsrom og studentarbeidsplasser hvor vernerunder avdekker behov for dette (ansvar leder for campustjenester)</w:t>
      </w:r>
    </w:p>
    <w:p w:rsidR="00304C6A" w:rsidRDefault="00304C6A" w:rsidP="00304C6A">
      <w:pPr>
        <w:shd w:val="clear" w:color="auto" w:fill="FFFFFF"/>
        <w:spacing w:before="150" w:after="375"/>
        <w:textAlignment w:val="baseline"/>
        <w:rPr>
          <w:rFonts w:ascii="Source Sans Pro" w:hAnsi="Source Sans Pro"/>
          <w:color w:val="000000"/>
          <w:spacing w:val="-2"/>
        </w:rPr>
      </w:pPr>
    </w:p>
    <w:p w:rsidR="00304C6A" w:rsidRDefault="00304C6A" w:rsidP="00304C6A">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4.0 Sosiale møteplasser, fasiliteter og velferdstilbud</w:t>
      </w:r>
    </w:p>
    <w:p w:rsidR="00304C6A" w:rsidRDefault="00304C6A" w:rsidP="00304C6A">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Hovedmål: Høgskolen skal tilby sosiale møteplasser, fasiliteter og velferdstilbud som inkluderer alle studenter.</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Delmål:</w:t>
      </w:r>
    </w:p>
    <w:p w:rsidR="00304C6A" w:rsidRDefault="00304C6A" w:rsidP="00304C6A">
      <w:pPr>
        <w:numPr>
          <w:ilvl w:val="0"/>
          <w:numId w:val="9"/>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Aktiviteter i Høgskolens regi skal være utformet slik at de er tilgjengelig for alle studenter</w:t>
      </w:r>
    </w:p>
    <w:p w:rsidR="00304C6A" w:rsidRDefault="00304C6A" w:rsidP="00304C6A">
      <w:pPr>
        <w:numPr>
          <w:ilvl w:val="0"/>
          <w:numId w:val="9"/>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Studenter som har behov for hvile eller skjerming grunnet sykdom, amming eller andre forhold skal ha tilgang til egnet rom</w:t>
      </w:r>
    </w:p>
    <w:p w:rsidR="00304C6A" w:rsidRDefault="00304C6A" w:rsidP="00304C6A">
      <w:pPr>
        <w:numPr>
          <w:ilvl w:val="0"/>
          <w:numId w:val="9"/>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Minst ett rom på hvert campus skal være tilrettelagt for stell av små barn</w:t>
      </w:r>
    </w:p>
    <w:p w:rsidR="00304C6A" w:rsidRDefault="00304C6A" w:rsidP="00304C6A">
      <w:pPr>
        <w:shd w:val="clear" w:color="auto" w:fill="FFFFFF"/>
        <w:spacing w:before="150" w:after="375"/>
        <w:textAlignment w:val="baseline"/>
        <w:rPr>
          <w:rFonts w:ascii="Source Sans Pro" w:hAnsi="Source Sans Pro"/>
          <w:color w:val="000000"/>
          <w:spacing w:val="-2"/>
        </w:rPr>
      </w:pP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Tiltak:</w:t>
      </w:r>
    </w:p>
    <w:p w:rsidR="00304C6A" w:rsidRDefault="00304C6A" w:rsidP="00304C6A">
      <w:pPr>
        <w:numPr>
          <w:ilvl w:val="0"/>
          <w:numId w:val="10"/>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4.1. Universell utforming skal integreres som en del av høgskolens ROS-analyser ved planlegging av arrangementer (ansvar direktør organisasjons - og tjenesteutvikling)</w:t>
      </w:r>
    </w:p>
    <w:p w:rsidR="00304C6A" w:rsidRDefault="00304C6A" w:rsidP="00304C6A">
      <w:pPr>
        <w:numPr>
          <w:ilvl w:val="0"/>
          <w:numId w:val="10"/>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4.2. Det gjennomføres regelmessige vernerunder for studenter knyttet til møteplasser og fasiliteter (ansvar direktør organisasjons - og tjenesteutvikling)</w:t>
      </w:r>
    </w:p>
    <w:p w:rsidR="00304C6A" w:rsidRDefault="00304C6A" w:rsidP="00304C6A">
      <w:pPr>
        <w:numPr>
          <w:ilvl w:val="0"/>
          <w:numId w:val="10"/>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4.3. Avvik knyttet til møteplasser og fasiliteter skal håndteres gjennom høgskolens avvikssystem og rettes innen rimelig tid (ansvar leder for campustjenester)</w:t>
      </w:r>
    </w:p>
    <w:p w:rsidR="00304C6A" w:rsidRDefault="00304C6A" w:rsidP="00304C6A">
      <w:pPr>
        <w:shd w:val="clear" w:color="auto" w:fill="FFFFFF"/>
        <w:spacing w:before="150" w:after="375"/>
        <w:textAlignment w:val="baseline"/>
        <w:rPr>
          <w:rFonts w:ascii="Source Sans Pro" w:hAnsi="Source Sans Pro"/>
          <w:color w:val="000000"/>
          <w:spacing w:val="-2"/>
        </w:rPr>
      </w:pPr>
    </w:p>
    <w:p w:rsidR="00304C6A" w:rsidRDefault="00304C6A" w:rsidP="00304C6A">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5.0 Fremkommelighet og evakuering</w:t>
      </w:r>
    </w:p>
    <w:p w:rsidR="00304C6A" w:rsidRDefault="00304C6A" w:rsidP="00304C6A">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Hovedmål: Alle studenter skal kunne ferdes uhindret på campus og ha like mulighet for å ta i bruk arealer på en sikker og trygg måte.</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Tiltak:</w:t>
      </w:r>
    </w:p>
    <w:p w:rsidR="00304C6A" w:rsidRDefault="00304C6A" w:rsidP="00304C6A">
      <w:pPr>
        <w:numPr>
          <w:ilvl w:val="0"/>
          <w:numId w:val="11"/>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5.1. Høgskolen skal anskaffe digitale kart for innendørs navigering (ansvar IKT direktør)</w:t>
      </w:r>
    </w:p>
    <w:p w:rsidR="00304C6A" w:rsidRDefault="00304C6A" w:rsidP="00304C6A">
      <w:pPr>
        <w:numPr>
          <w:ilvl w:val="0"/>
          <w:numId w:val="11"/>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5.2. Det gjennomføres regelmessige vernerunder for studenter knyttet til fremkommelighet og evakuering (ansvar direktør organisasjons - og tjenesteutvikling)</w:t>
      </w:r>
    </w:p>
    <w:p w:rsidR="00304C6A" w:rsidRDefault="00304C6A" w:rsidP="00304C6A">
      <w:pPr>
        <w:numPr>
          <w:ilvl w:val="0"/>
          <w:numId w:val="11"/>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5.3. Avvik knyttet til fremkommelighet og evakuering skal håndteres gjennom høgskolens avvikssystem og rettes innen rimelig tid (ansvar leder for campustjenester)</w:t>
      </w:r>
    </w:p>
    <w:p w:rsidR="00304C6A" w:rsidRDefault="00304C6A" w:rsidP="00304C6A">
      <w:pPr>
        <w:numPr>
          <w:ilvl w:val="0"/>
          <w:numId w:val="11"/>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lastRenderedPageBreak/>
        <w:t>5.4. Høgskolens e-kurs i brannvernopplæring skal revideres slik at dette også omhandler særskilte tiltak som gjelder evakuering av studenter med funksjonsnedsettelse (ansvar direktør organisasjons - og tjenesteutvikling)</w:t>
      </w:r>
    </w:p>
    <w:p w:rsidR="00304C6A" w:rsidRDefault="00304C6A" w:rsidP="00304C6A">
      <w:pPr>
        <w:numPr>
          <w:ilvl w:val="0"/>
          <w:numId w:val="11"/>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5.5. Det skal tilbys informasjonsmøte om evakuering, samt omvisning av lokaler og rømningsveier i begynnelsen av hvert semester for alle studenter med funksjonsnedsettelse (ansvar direktør organisasjons - og tjenesteutvikling)</w:t>
      </w:r>
    </w:p>
    <w:p w:rsidR="00304C6A" w:rsidRDefault="00304C6A" w:rsidP="00304C6A">
      <w:pPr>
        <w:numPr>
          <w:ilvl w:val="0"/>
          <w:numId w:val="11"/>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 xml:space="preserve">5.6. Det skal gis tilgang på brannvarsling via mobiltelefon gjennom systemet </w:t>
      </w:r>
      <w:proofErr w:type="spellStart"/>
      <w:r>
        <w:rPr>
          <w:rFonts w:ascii="Source Sans Pro" w:hAnsi="Source Sans Pro"/>
          <w:color w:val="000000"/>
          <w:spacing w:val="-2"/>
        </w:rPr>
        <w:t>Flexialarm</w:t>
      </w:r>
      <w:proofErr w:type="spellEnd"/>
      <w:r>
        <w:rPr>
          <w:rFonts w:ascii="Source Sans Pro" w:hAnsi="Source Sans Pro"/>
          <w:color w:val="000000"/>
          <w:spacing w:val="-2"/>
        </w:rPr>
        <w:t xml:space="preserve"> til alle studenter med utfordringer knyttet til hørsel (ansvar leder for campustjenester)</w:t>
      </w:r>
    </w:p>
    <w:p w:rsidR="00304C6A" w:rsidRDefault="00304C6A" w:rsidP="00304C6A">
      <w:pPr>
        <w:shd w:val="clear" w:color="auto" w:fill="FFFFFF"/>
        <w:spacing w:before="150" w:after="375"/>
        <w:textAlignment w:val="baseline"/>
        <w:rPr>
          <w:rFonts w:ascii="Source Sans Pro" w:hAnsi="Source Sans Pro"/>
          <w:color w:val="000000"/>
          <w:spacing w:val="-2"/>
        </w:rPr>
      </w:pPr>
    </w:p>
    <w:p w:rsidR="00304C6A" w:rsidRDefault="00304C6A" w:rsidP="00304C6A">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7.0 Kompetanse og opplæring</w:t>
      </w:r>
    </w:p>
    <w:p w:rsidR="00304C6A" w:rsidRDefault="00304C6A" w:rsidP="00304C6A">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Hovedmål: Bygningsmessig drift skal ha oppdatert kompetanse om universell utforming av det fysiske læringsmiljøet i henhold til aktuelt lovverk.</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Tiltak:</w:t>
      </w:r>
    </w:p>
    <w:p w:rsidR="00304C6A" w:rsidRDefault="00304C6A" w:rsidP="00304C6A">
      <w:pPr>
        <w:numPr>
          <w:ilvl w:val="0"/>
          <w:numId w:val="12"/>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 xml:space="preserve">7.1. Deltakelse i Universell sitt årlige </w:t>
      </w:r>
      <w:proofErr w:type="spellStart"/>
      <w:r>
        <w:rPr>
          <w:rFonts w:ascii="Source Sans Pro" w:hAnsi="Source Sans Pro"/>
          <w:color w:val="000000"/>
          <w:spacing w:val="-2"/>
        </w:rPr>
        <w:t>byggseminar</w:t>
      </w:r>
      <w:proofErr w:type="spellEnd"/>
      <w:r>
        <w:rPr>
          <w:rFonts w:ascii="Source Sans Pro" w:hAnsi="Source Sans Pro"/>
          <w:color w:val="000000"/>
          <w:spacing w:val="-2"/>
        </w:rPr>
        <w:t xml:space="preserve"> knyttet til universell utforming av universitets – og høgskolebygg og uteområder (ansvar leder for campustjenester)</w:t>
      </w:r>
    </w:p>
    <w:p w:rsidR="00304C6A" w:rsidRDefault="00304C6A" w:rsidP="00304C6A">
      <w:pPr>
        <w:numPr>
          <w:ilvl w:val="0"/>
          <w:numId w:val="12"/>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7.2. Implementere universell utforming som en del av de ansattes kompetanseplan (ansvar leder for campustjenester)</w:t>
      </w:r>
    </w:p>
    <w:p w:rsidR="00304C6A" w:rsidRDefault="00304C6A" w:rsidP="00304C6A">
      <w:pPr>
        <w:shd w:val="clear" w:color="auto" w:fill="FFFFFF"/>
        <w:spacing w:before="150" w:after="375"/>
        <w:textAlignment w:val="baseline"/>
        <w:rPr>
          <w:rFonts w:ascii="Source Sans Pro" w:hAnsi="Source Sans Pro"/>
          <w:color w:val="000000"/>
          <w:spacing w:val="-2"/>
        </w:rPr>
      </w:pPr>
    </w:p>
    <w:p w:rsidR="00304C6A" w:rsidRDefault="00304C6A" w:rsidP="00304C6A">
      <w:pPr>
        <w:pStyle w:val="Overskrift2"/>
        <w:shd w:val="clear" w:color="auto" w:fill="FFFFFF"/>
        <w:spacing w:before="0"/>
        <w:textAlignment w:val="baseline"/>
        <w:rPr>
          <w:rFonts w:ascii="Source Sans Pro" w:hAnsi="Source Sans Pro"/>
          <w:color w:val="222222"/>
        </w:rPr>
      </w:pPr>
      <w:r>
        <w:rPr>
          <w:rStyle w:val="Sterk"/>
          <w:rFonts w:ascii="Source Sans Pro" w:hAnsi="Source Sans Pro"/>
          <w:b w:val="0"/>
          <w:bCs w:val="0"/>
          <w:color w:val="222222"/>
          <w:sz w:val="42"/>
          <w:szCs w:val="42"/>
          <w:bdr w:val="none" w:sz="0" w:space="0" w:color="auto" w:frame="1"/>
        </w:rPr>
        <w:t>Universell utforming av det digitale læringsmiljøet:</w:t>
      </w:r>
    </w:p>
    <w:p w:rsidR="00304C6A" w:rsidRDefault="00304C6A" w:rsidP="00304C6A">
      <w:pPr>
        <w:shd w:val="clear" w:color="auto" w:fill="FFFFFF"/>
        <w:spacing w:before="150" w:after="375"/>
        <w:textAlignment w:val="baseline"/>
        <w:rPr>
          <w:rFonts w:ascii="Source Sans Pro" w:hAnsi="Source Sans Pro"/>
          <w:color w:val="000000"/>
          <w:spacing w:val="-2"/>
        </w:rPr>
      </w:pPr>
    </w:p>
    <w:p w:rsidR="00304C6A" w:rsidRDefault="00304C6A" w:rsidP="00304C6A">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Definisjon og virkeområde</w:t>
      </w:r>
    </w:p>
    <w:p w:rsidR="00304C6A" w:rsidRDefault="00304C6A" w:rsidP="00304C6A">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Det digitale læringsmiljøet handler om grenseflaten mellom studentene og de informasjons - og kommunikasjonsteknologiske (IKT) løsninger som inngår i virksomhetens alminnelige funksjon, herunder bruk av IKT som en integrert måte for hvordan en informerer og tilbyr sine tjenester til allmennheten på. Slike løsninger blir en stadig større del av studenters hverdag og gir store muligheter på en rekke områder, samtidig som utformingen av disse må være slik at det ikke skapes nye barrierer. Hensiktsmessig bruk av IKT vil kunne bidra til økt inkludering gjennom en rekke nye metoder for undervisning og læring som omfavner en større del av studentmassen og deres ulike læringsstiler.</w:t>
      </w:r>
    </w:p>
    <w:p w:rsidR="00304C6A" w:rsidRDefault="00304C6A" w:rsidP="00304C6A">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br/>
        <w:t>Følgende hovedområder må ivaretas og legges til grunn for handlingsplanen knyttet til det digitale læringsmiljøet, og dertil være universelt utformet:</w:t>
      </w:r>
    </w:p>
    <w:p w:rsidR="00304C6A" w:rsidRDefault="00304C6A" w:rsidP="00304C6A">
      <w:pPr>
        <w:numPr>
          <w:ilvl w:val="0"/>
          <w:numId w:val="13"/>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lastRenderedPageBreak/>
        <w:t>Nettsider</w:t>
      </w:r>
    </w:p>
    <w:p w:rsidR="00304C6A" w:rsidRDefault="00304C6A" w:rsidP="00304C6A">
      <w:pPr>
        <w:numPr>
          <w:ilvl w:val="0"/>
          <w:numId w:val="13"/>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Læringsplattformer og digital eksamensløsning</w:t>
      </w:r>
    </w:p>
    <w:p w:rsidR="00304C6A" w:rsidRDefault="00304C6A" w:rsidP="00304C6A">
      <w:pPr>
        <w:numPr>
          <w:ilvl w:val="0"/>
          <w:numId w:val="13"/>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Digitale læremidler (nettbaserte redskaper / ressurser som kan brukes i det pedagogiske arbeidet, og som er utviklet med hensikt å støtte læringsaktiviteter).</w:t>
      </w:r>
    </w:p>
    <w:p w:rsidR="00304C6A" w:rsidRDefault="00304C6A" w:rsidP="00304C6A">
      <w:pPr>
        <w:numPr>
          <w:ilvl w:val="0"/>
          <w:numId w:val="13"/>
        </w:numPr>
        <w:shd w:val="clear" w:color="auto" w:fill="FFFFFF"/>
        <w:spacing w:after="75"/>
        <w:ind w:left="684"/>
        <w:textAlignment w:val="baseline"/>
        <w:rPr>
          <w:rFonts w:ascii="Source Sans Pro" w:hAnsi="Source Sans Pro"/>
          <w:color w:val="000000"/>
          <w:spacing w:val="-2"/>
        </w:rPr>
      </w:pPr>
      <w:proofErr w:type="spellStart"/>
      <w:r>
        <w:rPr>
          <w:rFonts w:ascii="Source Sans Pro" w:hAnsi="Source Sans Pro"/>
          <w:color w:val="000000"/>
          <w:spacing w:val="-2"/>
        </w:rPr>
        <w:t>Apper</w:t>
      </w:r>
      <w:proofErr w:type="spellEnd"/>
    </w:p>
    <w:p w:rsidR="00304C6A" w:rsidRDefault="00304C6A" w:rsidP="00304C6A">
      <w:pPr>
        <w:numPr>
          <w:ilvl w:val="0"/>
          <w:numId w:val="13"/>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Automater</w:t>
      </w:r>
    </w:p>
    <w:p w:rsidR="00304C6A" w:rsidRDefault="00304C6A" w:rsidP="00304C6A">
      <w:pPr>
        <w:shd w:val="clear" w:color="auto" w:fill="FFFFFF"/>
        <w:spacing w:after="75"/>
        <w:ind w:left="684"/>
        <w:textAlignment w:val="baseline"/>
        <w:rPr>
          <w:rFonts w:ascii="Source Sans Pro" w:hAnsi="Source Sans Pro"/>
          <w:color w:val="000000"/>
          <w:spacing w:val="-2"/>
        </w:rPr>
      </w:pPr>
    </w:p>
    <w:p w:rsidR="00304C6A" w:rsidRDefault="00304C6A" w:rsidP="00304C6A">
      <w:pPr>
        <w:shd w:val="clear" w:color="auto" w:fill="FFFFFF"/>
        <w:textAlignment w:val="baseline"/>
        <w:rPr>
          <w:rFonts w:ascii="Source Sans Pro" w:hAnsi="Source Sans Pro"/>
          <w:color w:val="000000"/>
          <w:spacing w:val="-2"/>
        </w:rPr>
      </w:pPr>
      <w:r>
        <w:rPr>
          <w:rFonts w:ascii="Source Sans Pro" w:hAnsi="Source Sans Pro"/>
          <w:color w:val="000000"/>
          <w:spacing w:val="-2"/>
        </w:rPr>
        <w:t>Forskrift om universell utforming av informasjons - og kommunikasjonsteknologi (§4) pålegger virksomheten at alle nettløsninger skal minimum være utformet i samsvar med </w:t>
      </w:r>
      <w:hyperlink r:id="rId18" w:history="1">
        <w:r>
          <w:rPr>
            <w:rStyle w:val="Hyperkobling"/>
            <w:rFonts w:ascii="Source Sans Pro" w:hAnsi="Source Sans Pro"/>
            <w:color w:val="347E84"/>
            <w:spacing w:val="-2"/>
            <w:bdr w:val="none" w:sz="0" w:space="0" w:color="auto" w:frame="1"/>
          </w:rPr>
          <w:t>Web Content Accessibility Guidelines 2.0 (WCAG 2.0)</w:t>
        </w:r>
      </w:hyperlink>
      <w:r>
        <w:rPr>
          <w:rFonts w:ascii="Source Sans Pro" w:hAnsi="Source Sans Pro"/>
          <w:color w:val="000000"/>
          <w:spacing w:val="-2"/>
        </w:rPr>
        <w:t> på nivå A og AA. Nye nettløsninger skal være universelt utformet fra 01.01.2019, samt eksisterende løsninger fra 01.01.2021. I løpet av livet vil dessuten de fleste av oss trenge god utforming, hvor det er </w:t>
      </w:r>
      <w:hyperlink r:id="rId19" w:anchor="fordeler" w:history="1">
        <w:r>
          <w:rPr>
            <w:rStyle w:val="Hyperkobling"/>
            <w:rFonts w:ascii="Source Sans Pro" w:hAnsi="Source Sans Pro"/>
            <w:color w:val="347E84"/>
            <w:spacing w:val="-2"/>
            <w:bdr w:val="none" w:sz="0" w:space="0" w:color="auto" w:frame="1"/>
          </w:rPr>
          <w:t>mange fordeler med å benytte denne standarden</w:t>
        </w:r>
      </w:hyperlink>
      <w:r>
        <w:rPr>
          <w:rFonts w:ascii="Source Sans Pro" w:hAnsi="Source Sans Pro"/>
          <w:color w:val="000000"/>
          <w:spacing w:val="-2"/>
        </w:rPr>
        <w:t>. </w:t>
      </w:r>
    </w:p>
    <w:p w:rsidR="00304C6A" w:rsidRDefault="00304C6A" w:rsidP="00304C6A">
      <w:pPr>
        <w:shd w:val="clear" w:color="auto" w:fill="FFFFFF"/>
        <w:textAlignment w:val="baseline"/>
        <w:rPr>
          <w:rFonts w:ascii="Source Sans Pro" w:hAnsi="Source Sans Pro"/>
          <w:color w:val="000000"/>
          <w:spacing w:val="-2"/>
        </w:rPr>
      </w:pPr>
    </w:p>
    <w:p w:rsidR="00304C6A" w:rsidRDefault="00304C6A" w:rsidP="00304C6A">
      <w:pPr>
        <w:shd w:val="clear" w:color="auto" w:fill="FFFFFF"/>
        <w:textAlignment w:val="baseline"/>
        <w:rPr>
          <w:rFonts w:ascii="Source Sans Pro" w:hAnsi="Source Sans Pro"/>
          <w:color w:val="000000"/>
          <w:spacing w:val="-2"/>
        </w:rPr>
      </w:pPr>
      <w:r>
        <w:rPr>
          <w:rFonts w:ascii="Source Sans Pro" w:hAnsi="Source Sans Pro"/>
          <w:color w:val="000000"/>
          <w:spacing w:val="-2"/>
        </w:rPr>
        <w:t>I tillegg gjelder etter hvert krav som følger </w:t>
      </w:r>
      <w:hyperlink r:id="rId20" w:history="1">
        <w:r>
          <w:rPr>
            <w:rStyle w:val="Hyperkobling"/>
            <w:rFonts w:ascii="Source Sans Pro" w:hAnsi="Source Sans Pro"/>
            <w:color w:val="347E84"/>
            <w:spacing w:val="-2"/>
            <w:bdr w:val="none" w:sz="0" w:space="0" w:color="auto" w:frame="1"/>
          </w:rPr>
          <w:t>EUs direktiv om tilgjengelighet av offentlige organers nettsteder og mobilapplikasjoner</w:t>
        </w:r>
      </w:hyperlink>
      <w:r>
        <w:rPr>
          <w:rFonts w:ascii="Source Sans Pro" w:hAnsi="Source Sans Pro"/>
          <w:color w:val="000000"/>
          <w:spacing w:val="-2"/>
        </w:rPr>
        <w:t> (WCAG 2.0 erstattes da av WCAG 2.1) (forslag om gjennomføring av EUs nye regler ute på høring frem til 10.09.2019). Videre er det også krav til at virksomheter skal publisere en tilgjengelighetserklæring for sine nettsteder og mobilapplikasjoner, jf. Artikkel 7 nr. 1. Den skal være universelt utformet og i et maskinlesbart format. I tillegg skal virksomhetene ha en tilbakemeldingsfunksjon, hvor brukere skal ha mulighet til å gi tilbakemeldinger om nettsted og mobilapplikasjoner som gjelder feil eller brudd på kravene.</w:t>
      </w:r>
    </w:p>
    <w:p w:rsidR="00304C6A" w:rsidRDefault="00304C6A" w:rsidP="00304C6A">
      <w:pPr>
        <w:shd w:val="clear" w:color="auto" w:fill="FFFFFF"/>
        <w:spacing w:before="150" w:after="375"/>
        <w:textAlignment w:val="baseline"/>
        <w:rPr>
          <w:rFonts w:ascii="Source Sans Pro" w:hAnsi="Source Sans Pro"/>
          <w:color w:val="000000"/>
          <w:spacing w:val="-2"/>
        </w:rPr>
      </w:pPr>
    </w:p>
    <w:p w:rsidR="00304C6A" w:rsidRDefault="00304C6A" w:rsidP="00304C6A">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8.0 Nettsider</w:t>
      </w:r>
    </w:p>
    <w:p w:rsidR="00304C6A" w:rsidRDefault="00304C6A" w:rsidP="00304C6A">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Hovedmål: Høgskolens nettsider, herunder også sosiale medier, skal være tilgjengelig for alle studenter. </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Tiltak:</w:t>
      </w:r>
    </w:p>
    <w:p w:rsidR="00304C6A" w:rsidRDefault="00304C6A" w:rsidP="00304C6A">
      <w:pPr>
        <w:numPr>
          <w:ilvl w:val="0"/>
          <w:numId w:val="14"/>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8.1. Markeds – og kommunikasjonsenheten utarbeider rutiner og finner egnede støtteverktøy for ivaretakelse og kontroll av universell utforming ved høgskolens nettsider og innhold som publiseres i sosiale medier (ansvar IKT direktør)</w:t>
      </w:r>
    </w:p>
    <w:p w:rsidR="00304C6A" w:rsidRDefault="00304C6A" w:rsidP="00304C6A">
      <w:pPr>
        <w:numPr>
          <w:ilvl w:val="0"/>
          <w:numId w:val="14"/>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8.2. Alle ansatte som jobber med tekst, bilder eller video/ lyd på høgskolens nettsider skal gjennomføre gjeldene kurs for publisister / nettansvarlige for å sikre at universell utforming, kravet om klarspråk i Staten, samt at høgskolens språkpolitiske retningslinjer blir ivaretatt før man får tilgang til gjeldende CMS (ansvar IKT direktør)</w:t>
      </w:r>
    </w:p>
    <w:p w:rsidR="00304C6A" w:rsidRDefault="00304C6A" w:rsidP="00304C6A">
      <w:pPr>
        <w:numPr>
          <w:ilvl w:val="0"/>
          <w:numId w:val="14"/>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8.3. Høgskolen skal publisere en tilgjengelighetserklæring for sine nettsteder og mobilapplikasjoner med tilhørende tilbakemeldingsfunksjon for studentene (ansvar IKT direktør)</w:t>
      </w:r>
    </w:p>
    <w:p w:rsidR="00304C6A" w:rsidRDefault="00304C6A"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p>
    <w:p w:rsidR="00304C6A" w:rsidRDefault="00304C6A" w:rsidP="00304C6A">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lastRenderedPageBreak/>
        <w:t>9.0 Læringsplattform, digitale vurderingsformer og digitale læremidler</w:t>
      </w:r>
    </w:p>
    <w:p w:rsidR="00304C6A" w:rsidRDefault="00304C6A" w:rsidP="00304C6A">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Hovedmål: Høgskolens læringsplattform, system for digital eksamen og digitale læremidler, herunder tekstfiler, programvare, lyd og bilder som er produsert for å ivareta bestemte opplæringsmål, skal være tilgjengelig for alle studenter i henhold til lovkrav.</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Delmål:</w:t>
      </w:r>
    </w:p>
    <w:p w:rsidR="00304C6A" w:rsidRPr="00B15867" w:rsidRDefault="00B15867" w:rsidP="00B15867">
      <w:pPr>
        <w:numPr>
          <w:ilvl w:val="0"/>
          <w:numId w:val="15"/>
        </w:numPr>
        <w:shd w:val="clear" w:color="auto" w:fill="FFFFFF"/>
        <w:spacing w:after="75"/>
        <w:ind w:left="684"/>
        <w:textAlignment w:val="baseline"/>
        <w:rPr>
          <w:rFonts w:ascii="Source Sans Pro" w:hAnsi="Source Sans Pro"/>
          <w:color w:val="000000"/>
          <w:spacing w:val="-2"/>
        </w:rPr>
      </w:pPr>
      <w:bookmarkStart w:id="0" w:name="_GoBack"/>
      <w:bookmarkEnd w:id="0"/>
      <w:r w:rsidRPr="00B15867">
        <w:rPr>
          <w:rFonts w:ascii="Source Sans Pro" w:hAnsi="Source Sans Pro"/>
          <w:color w:val="000000"/>
          <w:spacing w:val="-2"/>
        </w:rPr>
        <w:t>Alle digitale læremidler skal være universelt utformet før de legges ut på institusjonens nettløsninger, herunder høgskolens læringsplattform, system for digital eksamen og andre relevante publiseringsplattformer.</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Tiltak:</w:t>
      </w:r>
    </w:p>
    <w:p w:rsidR="00304C6A" w:rsidRDefault="00304C6A" w:rsidP="00304C6A">
      <w:pPr>
        <w:numPr>
          <w:ilvl w:val="0"/>
          <w:numId w:val="16"/>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9.1. Innkjøp og implementering av egnede støtteverktøy for ivaretakelse av universell utforming av innhold publisert via høgskolens nettløsninger (ansvar studiedirektør)</w:t>
      </w:r>
    </w:p>
    <w:p w:rsidR="00304C6A" w:rsidRDefault="00304C6A" w:rsidP="00304C6A">
      <w:pPr>
        <w:numPr>
          <w:ilvl w:val="0"/>
          <w:numId w:val="16"/>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9.2. Opplæring og støtte til ansatte i bruk av egnede støtteverktøy for ivaretakelse av universell utforming av innhold publisert via høgskolens nettsider (ansvar direktør organisasjons – og tjenesteutvikling)</w:t>
      </w:r>
    </w:p>
    <w:p w:rsidR="00304C6A" w:rsidRDefault="00304C6A" w:rsidP="00304C6A">
      <w:pPr>
        <w:numPr>
          <w:ilvl w:val="0"/>
          <w:numId w:val="16"/>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9.3. Integrere universell utforming som kompetanseområde som en del av kjernevirksomheten og mandatet til læringsstøttesenteret (ansvar direktør organisasjons – og tjenesteutvikling)</w:t>
      </w:r>
    </w:p>
    <w:p w:rsidR="00304C6A" w:rsidRDefault="00304C6A" w:rsidP="00304C6A">
      <w:pPr>
        <w:numPr>
          <w:ilvl w:val="0"/>
          <w:numId w:val="16"/>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9.4. Det skal implementeres verktøy for bruk av talesyntese og forstørrelse av tekst ved alle digitale eksamensløsninger (ansvar studiedirektør) </w:t>
      </w:r>
    </w:p>
    <w:p w:rsidR="00304C6A" w:rsidRDefault="00304C6A" w:rsidP="00304C6A">
      <w:pPr>
        <w:numPr>
          <w:ilvl w:val="0"/>
          <w:numId w:val="16"/>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9.5. Høgskolens innkjøp av læremidler skal følge gitte retningslinjer for krav til universell utforming (ansvar IKT direktør)</w:t>
      </w:r>
    </w:p>
    <w:p w:rsidR="00304C6A" w:rsidRDefault="00304C6A" w:rsidP="00304C6A">
      <w:pPr>
        <w:numPr>
          <w:ilvl w:val="0"/>
          <w:numId w:val="16"/>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9.6. Fagavdelingene skal velge digitalt pensum i sine studier dersom dette er tilgjengelig, herunder også kompendier (ansvar dekaner)</w:t>
      </w:r>
    </w:p>
    <w:p w:rsidR="00304C6A" w:rsidRDefault="00304C6A" w:rsidP="00304C6A">
      <w:pPr>
        <w:numPr>
          <w:ilvl w:val="0"/>
          <w:numId w:val="16"/>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9.7. Tradisjonell undervisning skal så langt det er mulig suppleres med digitale undervisningsformer for økt tilgjengelighet (ansvar dekaner)</w:t>
      </w:r>
    </w:p>
    <w:p w:rsidR="00304C6A" w:rsidRDefault="00304C6A"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p>
    <w:p w:rsidR="00304C6A" w:rsidRDefault="00304C6A" w:rsidP="00304C6A">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 xml:space="preserve">10.0 </w:t>
      </w:r>
      <w:proofErr w:type="spellStart"/>
      <w:r>
        <w:rPr>
          <w:rFonts w:ascii="Source Sans Pro" w:hAnsi="Source Sans Pro"/>
          <w:color w:val="444444"/>
          <w:u w:val="single"/>
        </w:rPr>
        <w:t>Apper</w:t>
      </w:r>
      <w:proofErr w:type="spellEnd"/>
    </w:p>
    <w:p w:rsidR="00304C6A" w:rsidRDefault="00304C6A" w:rsidP="00304C6A">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 xml:space="preserve">Hovedmål: Høgskolens </w:t>
      </w:r>
      <w:proofErr w:type="spellStart"/>
      <w:r>
        <w:rPr>
          <w:rFonts w:ascii="Source Sans Pro" w:hAnsi="Source Sans Pro"/>
          <w:color w:val="000000"/>
          <w:spacing w:val="-2"/>
        </w:rPr>
        <w:t>apper</w:t>
      </w:r>
      <w:proofErr w:type="spellEnd"/>
      <w:r>
        <w:rPr>
          <w:rFonts w:ascii="Source Sans Pro" w:hAnsi="Source Sans Pro"/>
          <w:color w:val="000000"/>
          <w:spacing w:val="-2"/>
        </w:rPr>
        <w:t xml:space="preserve"> skal være tilgjengelig for alle studenter.</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Tiltak: </w:t>
      </w:r>
    </w:p>
    <w:p w:rsidR="00304C6A" w:rsidRDefault="00304C6A" w:rsidP="00304C6A">
      <w:pPr>
        <w:numPr>
          <w:ilvl w:val="0"/>
          <w:numId w:val="17"/>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 xml:space="preserve">10.1. Høgskolens innkjøp og bruk av </w:t>
      </w:r>
      <w:proofErr w:type="spellStart"/>
      <w:r>
        <w:rPr>
          <w:rFonts w:ascii="Source Sans Pro" w:hAnsi="Source Sans Pro"/>
          <w:color w:val="000000"/>
          <w:spacing w:val="-2"/>
        </w:rPr>
        <w:t>apper</w:t>
      </w:r>
      <w:proofErr w:type="spellEnd"/>
      <w:r>
        <w:rPr>
          <w:rFonts w:ascii="Source Sans Pro" w:hAnsi="Source Sans Pro"/>
          <w:color w:val="000000"/>
          <w:spacing w:val="-2"/>
        </w:rPr>
        <w:t xml:space="preserve"> skal følge gitte retningslinjer for krav til universell utforming (ansvar IKT direktør)</w:t>
      </w:r>
    </w:p>
    <w:p w:rsidR="00304C6A" w:rsidRDefault="00304C6A" w:rsidP="00304C6A">
      <w:pPr>
        <w:numPr>
          <w:ilvl w:val="0"/>
          <w:numId w:val="17"/>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 xml:space="preserve">10.2. Alle </w:t>
      </w:r>
      <w:proofErr w:type="spellStart"/>
      <w:r>
        <w:rPr>
          <w:rFonts w:ascii="Source Sans Pro" w:hAnsi="Source Sans Pro"/>
          <w:color w:val="000000"/>
          <w:spacing w:val="-2"/>
        </w:rPr>
        <w:t>apper</w:t>
      </w:r>
      <w:proofErr w:type="spellEnd"/>
      <w:r>
        <w:rPr>
          <w:rFonts w:ascii="Source Sans Pro" w:hAnsi="Source Sans Pro"/>
          <w:color w:val="000000"/>
          <w:spacing w:val="-2"/>
        </w:rPr>
        <w:t xml:space="preserve"> som høgskolen tilbyr studentene skal være utformet for bruk av skjermleser (ansvar IKT direktør)</w:t>
      </w:r>
    </w:p>
    <w:p w:rsidR="00304C6A" w:rsidRDefault="00304C6A"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p>
    <w:p w:rsidR="00304C6A" w:rsidRDefault="00304C6A" w:rsidP="00304C6A">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lastRenderedPageBreak/>
        <w:t>11.0 Automater</w:t>
      </w:r>
    </w:p>
    <w:p w:rsidR="00304C6A" w:rsidRDefault="00304C6A" w:rsidP="00304C6A">
      <w:pPr>
        <w:shd w:val="clear" w:color="auto" w:fill="FFFFFF"/>
        <w:spacing w:after="375"/>
        <w:textAlignment w:val="baseline"/>
        <w:rPr>
          <w:rFonts w:ascii="Source Sans Pro" w:hAnsi="Source Sans Pro"/>
          <w:color w:val="000000"/>
          <w:spacing w:val="-2"/>
        </w:rPr>
      </w:pPr>
      <w:r>
        <w:rPr>
          <w:rFonts w:ascii="Source Sans Pro" w:hAnsi="Source Sans Pro"/>
          <w:color w:val="000000"/>
          <w:spacing w:val="-2"/>
        </w:rPr>
        <w:t>Mål: Høgskolens selvbetjeningsautomater skal være tilgjengelig for alle studenter (i forskriften defineres automater som en maskin eller annen innretning som brukeren opererer alene for å kjøpe en vare eller få utført en tjeneste)</w:t>
      </w:r>
    </w:p>
    <w:p w:rsidR="00304C6A" w:rsidRDefault="00304C6A" w:rsidP="00304C6A">
      <w:pPr>
        <w:shd w:val="clear" w:color="auto" w:fill="FFFFFF"/>
        <w:spacing w:before="150" w:after="375"/>
        <w:textAlignment w:val="baseline"/>
        <w:rPr>
          <w:rFonts w:ascii="Source Sans Pro" w:hAnsi="Source Sans Pro"/>
          <w:color w:val="000000"/>
          <w:spacing w:val="-2"/>
        </w:rPr>
      </w:pPr>
      <w:r>
        <w:rPr>
          <w:rFonts w:ascii="Source Sans Pro" w:hAnsi="Source Sans Pro"/>
          <w:color w:val="000000"/>
          <w:spacing w:val="-2"/>
        </w:rPr>
        <w:t>Tiltak: </w:t>
      </w:r>
    </w:p>
    <w:p w:rsidR="00304C6A" w:rsidRDefault="00304C6A" w:rsidP="00304C6A">
      <w:pPr>
        <w:numPr>
          <w:ilvl w:val="0"/>
          <w:numId w:val="18"/>
        </w:numPr>
        <w:shd w:val="clear" w:color="auto" w:fill="FFFFFF"/>
        <w:spacing w:after="75"/>
        <w:ind w:left="684"/>
        <w:textAlignment w:val="baseline"/>
        <w:rPr>
          <w:rFonts w:ascii="Source Sans Pro" w:hAnsi="Source Sans Pro"/>
          <w:color w:val="000000"/>
          <w:spacing w:val="-2"/>
        </w:rPr>
      </w:pPr>
      <w:r>
        <w:rPr>
          <w:rFonts w:ascii="Source Sans Pro" w:hAnsi="Source Sans Pro"/>
          <w:color w:val="000000"/>
          <w:spacing w:val="-2"/>
        </w:rPr>
        <w:t>11.1. Høgskolen stiller krav til universell utforming ved innkjøp eller leie av nye automater (ansvar leder for campustjenester)</w:t>
      </w:r>
    </w:p>
    <w:p w:rsidR="00304C6A" w:rsidRDefault="00304C6A"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p>
    <w:p w:rsidR="00304C6A" w:rsidRDefault="00304C6A" w:rsidP="00304C6A">
      <w:pPr>
        <w:pStyle w:val="Overskrift2"/>
        <w:shd w:val="clear" w:color="auto" w:fill="FFFFFF"/>
        <w:spacing w:before="0"/>
        <w:textAlignment w:val="baseline"/>
        <w:rPr>
          <w:rFonts w:ascii="Source Sans Pro" w:hAnsi="Source Sans Pro"/>
          <w:color w:val="222222"/>
        </w:rPr>
      </w:pPr>
      <w:r>
        <w:rPr>
          <w:rStyle w:val="Sterk"/>
          <w:rFonts w:ascii="Source Sans Pro" w:hAnsi="Source Sans Pro"/>
          <w:b w:val="0"/>
          <w:bCs w:val="0"/>
          <w:color w:val="222222"/>
          <w:sz w:val="42"/>
          <w:szCs w:val="42"/>
          <w:bdr w:val="none" w:sz="0" w:space="0" w:color="auto" w:frame="1"/>
        </w:rPr>
        <w:t>Henvisninger:</w:t>
      </w:r>
    </w:p>
    <w:p w:rsidR="00304C6A" w:rsidRDefault="00304C6A"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p>
    <w:p w:rsidR="00304C6A" w:rsidRDefault="00304C6A" w:rsidP="00304C6A">
      <w:pPr>
        <w:pStyle w:val="Overskrift2"/>
        <w:pBdr>
          <w:top w:val="single" w:sz="6" w:space="6" w:color="FFFFFF"/>
        </w:pBdr>
        <w:shd w:val="clear" w:color="auto" w:fill="E0E9EB"/>
        <w:spacing w:before="0"/>
        <w:textAlignment w:val="baseline"/>
        <w:rPr>
          <w:rFonts w:ascii="Source Sans Pro" w:hAnsi="Source Sans Pro"/>
          <w:color w:val="444444"/>
          <w:u w:val="single"/>
        </w:rPr>
      </w:pPr>
      <w:r>
        <w:rPr>
          <w:rFonts w:ascii="Source Sans Pro" w:hAnsi="Source Sans Pro"/>
          <w:color w:val="444444"/>
          <w:u w:val="single"/>
        </w:rPr>
        <w:t>Veiledere, dokumenter og nyttige ressurser</w:t>
      </w:r>
    </w:p>
    <w:p w:rsidR="00304C6A" w:rsidRDefault="00B15867" w:rsidP="00304C6A">
      <w:pPr>
        <w:numPr>
          <w:ilvl w:val="0"/>
          <w:numId w:val="19"/>
        </w:numPr>
        <w:shd w:val="clear" w:color="auto" w:fill="FFFFFF"/>
        <w:ind w:left="684"/>
        <w:textAlignment w:val="baseline"/>
        <w:rPr>
          <w:rFonts w:ascii="Source Sans Pro" w:hAnsi="Source Sans Pro"/>
          <w:color w:val="000000"/>
          <w:spacing w:val="-2"/>
        </w:rPr>
      </w:pPr>
      <w:hyperlink r:id="rId21" w:tooltip="Arkitektoniske virkemidler for orientering og veifinning, Statens vegvesen og Direktoratet for byggkvalitet 2015 (pdf)" w:history="1">
        <w:r w:rsidR="00304C6A">
          <w:rPr>
            <w:rStyle w:val="Hyperkobling"/>
            <w:rFonts w:ascii="Source Sans Pro" w:hAnsi="Source Sans Pro"/>
            <w:color w:val="347E84"/>
            <w:spacing w:val="-2"/>
            <w:bdr w:val="none" w:sz="0" w:space="0" w:color="auto" w:frame="1"/>
          </w:rPr>
          <w:t xml:space="preserve">Arkitektoniske virkemidler for orientering og veifinning, Statens vegvesen og Direktoratet for </w:t>
        </w:r>
        <w:proofErr w:type="spellStart"/>
        <w:r w:rsidR="00304C6A">
          <w:rPr>
            <w:rStyle w:val="Hyperkobling"/>
            <w:rFonts w:ascii="Source Sans Pro" w:hAnsi="Source Sans Pro"/>
            <w:color w:val="347E84"/>
            <w:spacing w:val="-2"/>
            <w:bdr w:val="none" w:sz="0" w:space="0" w:color="auto" w:frame="1"/>
          </w:rPr>
          <w:t>byggkvalitet</w:t>
        </w:r>
        <w:proofErr w:type="spellEnd"/>
        <w:r w:rsidR="00304C6A">
          <w:rPr>
            <w:rStyle w:val="Hyperkobling"/>
            <w:rFonts w:ascii="Source Sans Pro" w:hAnsi="Source Sans Pro"/>
            <w:color w:val="347E84"/>
            <w:spacing w:val="-2"/>
            <w:bdr w:val="none" w:sz="0" w:space="0" w:color="auto" w:frame="1"/>
          </w:rPr>
          <w:t xml:space="preserve"> 2015 (</w:t>
        </w:r>
        <w:proofErr w:type="spellStart"/>
        <w:r w:rsidR="00304C6A">
          <w:rPr>
            <w:rStyle w:val="Hyperkobling"/>
            <w:rFonts w:ascii="Source Sans Pro" w:hAnsi="Source Sans Pro"/>
            <w:color w:val="347E84"/>
            <w:spacing w:val="-2"/>
            <w:bdr w:val="none" w:sz="0" w:space="0" w:color="auto" w:frame="1"/>
          </w:rPr>
          <w:t>pdf</w:t>
        </w:r>
        <w:proofErr w:type="spellEnd"/>
        <w:r w:rsidR="00304C6A">
          <w:rPr>
            <w:rStyle w:val="Hyperkobling"/>
            <w:rFonts w:ascii="Source Sans Pro" w:hAnsi="Source Sans Pro"/>
            <w:color w:val="347E84"/>
            <w:spacing w:val="-2"/>
            <w:bdr w:val="none" w:sz="0" w:space="0" w:color="auto" w:frame="1"/>
          </w:rPr>
          <w:t>)</w:t>
        </w:r>
      </w:hyperlink>
    </w:p>
    <w:p w:rsidR="00304C6A" w:rsidRDefault="00B15867" w:rsidP="00304C6A">
      <w:pPr>
        <w:numPr>
          <w:ilvl w:val="0"/>
          <w:numId w:val="19"/>
        </w:numPr>
        <w:shd w:val="clear" w:color="auto" w:fill="FFFFFF"/>
        <w:ind w:left="684"/>
        <w:textAlignment w:val="baseline"/>
        <w:rPr>
          <w:rFonts w:ascii="Source Sans Pro" w:hAnsi="Source Sans Pro"/>
          <w:color w:val="000000"/>
          <w:spacing w:val="-2"/>
        </w:rPr>
      </w:pPr>
      <w:hyperlink r:id="rId22" w:history="1">
        <w:proofErr w:type="spellStart"/>
        <w:r w:rsidR="00304C6A">
          <w:rPr>
            <w:rStyle w:val="Hyperkobling"/>
            <w:rFonts w:ascii="Source Sans Pro" w:hAnsi="Source Sans Pro"/>
            <w:color w:val="347E84"/>
            <w:spacing w:val="-2"/>
            <w:bdr w:val="none" w:sz="0" w:space="0" w:color="auto" w:frame="1"/>
          </w:rPr>
          <w:t>Difi</w:t>
        </w:r>
        <w:proofErr w:type="spellEnd"/>
        <w:r w:rsidR="00304C6A">
          <w:rPr>
            <w:rStyle w:val="Hyperkobling"/>
            <w:rFonts w:ascii="Source Sans Pro" w:hAnsi="Source Sans Pro"/>
            <w:color w:val="347E84"/>
            <w:spacing w:val="-2"/>
            <w:bdr w:val="none" w:sz="0" w:space="0" w:color="auto" w:frame="1"/>
          </w:rPr>
          <w:t xml:space="preserve"> (Direktoratet for forvaltning og IKT) er statlig fagorgan for forvaltnings- og IKT-politikken i offentlig sektor, herunder universell utforming av IKT</w:t>
        </w:r>
      </w:hyperlink>
    </w:p>
    <w:p w:rsidR="00304C6A" w:rsidRDefault="00B15867" w:rsidP="00304C6A">
      <w:pPr>
        <w:numPr>
          <w:ilvl w:val="0"/>
          <w:numId w:val="19"/>
        </w:numPr>
        <w:shd w:val="clear" w:color="auto" w:fill="FFFFFF"/>
        <w:ind w:left="684"/>
        <w:textAlignment w:val="baseline"/>
        <w:rPr>
          <w:rFonts w:ascii="Source Sans Pro" w:hAnsi="Source Sans Pro"/>
          <w:color w:val="000000"/>
          <w:spacing w:val="-2"/>
        </w:rPr>
      </w:pPr>
      <w:hyperlink r:id="rId23" w:history="1">
        <w:r w:rsidR="00304C6A">
          <w:rPr>
            <w:rStyle w:val="Hyperkobling"/>
            <w:rFonts w:ascii="Source Sans Pro" w:hAnsi="Source Sans Pro"/>
            <w:color w:val="347E84"/>
            <w:spacing w:val="-2"/>
            <w:bdr w:val="none" w:sz="0" w:space="0" w:color="auto" w:frame="1"/>
          </w:rPr>
          <w:t>Regjeringens handlingsplan for universell utforming</w:t>
        </w:r>
      </w:hyperlink>
    </w:p>
    <w:p w:rsidR="00304C6A" w:rsidRDefault="00B15867" w:rsidP="00304C6A">
      <w:pPr>
        <w:numPr>
          <w:ilvl w:val="0"/>
          <w:numId w:val="19"/>
        </w:numPr>
        <w:shd w:val="clear" w:color="auto" w:fill="FFFFFF"/>
        <w:ind w:left="684"/>
        <w:textAlignment w:val="baseline"/>
        <w:rPr>
          <w:rFonts w:ascii="Source Sans Pro" w:hAnsi="Source Sans Pro"/>
          <w:color w:val="000000"/>
          <w:spacing w:val="-2"/>
        </w:rPr>
      </w:pPr>
      <w:hyperlink r:id="rId24" w:history="1">
        <w:r w:rsidR="00304C6A">
          <w:rPr>
            <w:rStyle w:val="Hyperkobling"/>
            <w:rFonts w:ascii="Source Sans Pro" w:hAnsi="Source Sans Pro"/>
            <w:color w:val="347E84"/>
            <w:spacing w:val="-2"/>
            <w:bdr w:val="none" w:sz="0" w:space="0" w:color="auto" w:frame="1"/>
          </w:rPr>
          <w:t>Statsbyggs handlingsplan for universell utforming 2017-2021</w:t>
        </w:r>
      </w:hyperlink>
    </w:p>
    <w:p w:rsidR="00304C6A" w:rsidRDefault="00B15867" w:rsidP="00304C6A">
      <w:pPr>
        <w:numPr>
          <w:ilvl w:val="0"/>
          <w:numId w:val="19"/>
        </w:numPr>
        <w:shd w:val="clear" w:color="auto" w:fill="FFFFFF"/>
        <w:ind w:left="684"/>
        <w:textAlignment w:val="baseline"/>
        <w:rPr>
          <w:rFonts w:ascii="Source Sans Pro" w:hAnsi="Source Sans Pro"/>
          <w:color w:val="000000"/>
          <w:spacing w:val="-2"/>
        </w:rPr>
      </w:pPr>
      <w:hyperlink r:id="rId25" w:history="1">
        <w:r w:rsidR="00304C6A">
          <w:rPr>
            <w:rStyle w:val="Hyperkobling"/>
            <w:rFonts w:ascii="Source Sans Pro" w:hAnsi="Source Sans Pro"/>
            <w:color w:val="347E84"/>
            <w:spacing w:val="-2"/>
            <w:bdr w:val="none" w:sz="0" w:space="0" w:color="auto" w:frame="1"/>
          </w:rPr>
          <w:t>Informasjon om tilgjengelighet til offentlige bygninger</w:t>
        </w:r>
      </w:hyperlink>
    </w:p>
    <w:p w:rsidR="00304C6A" w:rsidRDefault="00B15867" w:rsidP="00304C6A">
      <w:pPr>
        <w:numPr>
          <w:ilvl w:val="0"/>
          <w:numId w:val="19"/>
        </w:numPr>
        <w:shd w:val="clear" w:color="auto" w:fill="FFFFFF"/>
        <w:ind w:left="684"/>
        <w:textAlignment w:val="baseline"/>
        <w:rPr>
          <w:rFonts w:ascii="Source Sans Pro" w:hAnsi="Source Sans Pro"/>
          <w:color w:val="000000"/>
          <w:spacing w:val="-2"/>
        </w:rPr>
      </w:pPr>
      <w:hyperlink r:id="rId26" w:history="1">
        <w:r w:rsidR="00304C6A">
          <w:rPr>
            <w:rStyle w:val="Hyperkobling"/>
            <w:rFonts w:ascii="Source Sans Pro" w:hAnsi="Source Sans Pro"/>
            <w:color w:val="347E84"/>
            <w:spacing w:val="-2"/>
            <w:bdr w:val="none" w:sz="0" w:space="0" w:color="auto" w:frame="1"/>
          </w:rPr>
          <w:t>Universell.no - utvikling og formidling av kunnskap om universell utforming i høyere utdanning</w:t>
        </w:r>
      </w:hyperlink>
    </w:p>
    <w:p w:rsidR="00304C6A" w:rsidRDefault="00B15867" w:rsidP="00304C6A">
      <w:pPr>
        <w:numPr>
          <w:ilvl w:val="0"/>
          <w:numId w:val="19"/>
        </w:numPr>
        <w:shd w:val="clear" w:color="auto" w:fill="FFFFFF"/>
        <w:ind w:left="684"/>
        <w:textAlignment w:val="baseline"/>
        <w:rPr>
          <w:rFonts w:ascii="Source Sans Pro" w:hAnsi="Source Sans Pro"/>
          <w:color w:val="000000"/>
          <w:spacing w:val="-2"/>
        </w:rPr>
      </w:pPr>
      <w:hyperlink r:id="rId27" w:history="1">
        <w:r w:rsidR="00304C6A">
          <w:rPr>
            <w:rStyle w:val="Hyperkobling"/>
            <w:rFonts w:ascii="Source Sans Pro" w:hAnsi="Source Sans Pro"/>
            <w:color w:val="347E84"/>
            <w:spacing w:val="-2"/>
            <w:bdr w:val="none" w:sz="0" w:space="0" w:color="auto" w:frame="1"/>
          </w:rPr>
          <w:t xml:space="preserve">Retningslinjer for tilgjengelig webinnhold (WCAG 2.0-standarden). </w:t>
        </w:r>
        <w:proofErr w:type="spellStart"/>
        <w:r w:rsidR="00304C6A">
          <w:rPr>
            <w:rStyle w:val="Hyperkobling"/>
            <w:rFonts w:ascii="Source Sans Pro" w:hAnsi="Source Sans Pro"/>
            <w:color w:val="347E84"/>
            <w:spacing w:val="-2"/>
            <w:bdr w:val="none" w:sz="0" w:space="0" w:color="auto" w:frame="1"/>
          </w:rPr>
          <w:t>Difi´s</w:t>
        </w:r>
        <w:proofErr w:type="spellEnd"/>
        <w:r w:rsidR="00304C6A">
          <w:rPr>
            <w:rStyle w:val="Hyperkobling"/>
            <w:rFonts w:ascii="Source Sans Pro" w:hAnsi="Source Sans Pro"/>
            <w:color w:val="347E84"/>
            <w:spacing w:val="-2"/>
            <w:bdr w:val="none" w:sz="0" w:space="0" w:color="auto" w:frame="1"/>
          </w:rPr>
          <w:t xml:space="preserve"> oversikt over minimumskravene som er omfattet av forskrift om universell utforming av IKT-løsninger</w:t>
        </w:r>
      </w:hyperlink>
    </w:p>
    <w:p w:rsidR="00304C6A" w:rsidRDefault="00B15867" w:rsidP="00304C6A">
      <w:pPr>
        <w:pStyle w:val="NormalWeb"/>
        <w:numPr>
          <w:ilvl w:val="0"/>
          <w:numId w:val="19"/>
        </w:numPr>
        <w:shd w:val="clear" w:color="auto" w:fill="FFFFFF"/>
        <w:spacing w:before="0" w:beforeAutospacing="0" w:after="0" w:afterAutospacing="0"/>
        <w:ind w:left="684"/>
        <w:textAlignment w:val="baseline"/>
        <w:rPr>
          <w:rFonts w:ascii="Source Sans Pro" w:hAnsi="Source Sans Pro"/>
          <w:color w:val="000000"/>
          <w:spacing w:val="-2"/>
        </w:rPr>
      </w:pPr>
      <w:hyperlink r:id="rId28" w:history="1">
        <w:r w:rsidR="00304C6A">
          <w:rPr>
            <w:rStyle w:val="Hyperkobling"/>
            <w:rFonts w:ascii="Source Sans Pro" w:hAnsi="Source Sans Pro"/>
            <w:color w:val="347E84"/>
            <w:spacing w:val="-2"/>
            <w:bdr w:val="none" w:sz="0" w:space="0" w:color="auto" w:frame="1"/>
          </w:rPr>
          <w:t>Likestillings- og diskrimineringsombudet</w:t>
        </w:r>
      </w:hyperlink>
    </w:p>
    <w:p w:rsidR="00304C6A" w:rsidRDefault="00B15867" w:rsidP="00304C6A">
      <w:pPr>
        <w:pStyle w:val="NormalWeb"/>
        <w:numPr>
          <w:ilvl w:val="0"/>
          <w:numId w:val="19"/>
        </w:numPr>
        <w:shd w:val="clear" w:color="auto" w:fill="FFFFFF"/>
        <w:spacing w:before="0" w:beforeAutospacing="0" w:after="0" w:afterAutospacing="0"/>
        <w:ind w:left="684"/>
        <w:textAlignment w:val="baseline"/>
        <w:rPr>
          <w:rFonts w:ascii="Source Sans Pro" w:hAnsi="Source Sans Pro"/>
          <w:color w:val="000000"/>
          <w:spacing w:val="-2"/>
        </w:rPr>
      </w:pPr>
      <w:hyperlink r:id="rId29" w:history="1">
        <w:r w:rsidR="00304C6A">
          <w:rPr>
            <w:rStyle w:val="Hyperkobling"/>
            <w:rFonts w:ascii="Source Sans Pro" w:hAnsi="Source Sans Pro"/>
            <w:color w:val="347E84"/>
            <w:spacing w:val="-2"/>
            <w:bdr w:val="none" w:sz="0" w:space="0" w:color="auto" w:frame="1"/>
          </w:rPr>
          <w:t>Standard Norge</w:t>
        </w:r>
      </w:hyperlink>
    </w:p>
    <w:p w:rsidR="00304C6A" w:rsidRDefault="00B15867" w:rsidP="00304C6A">
      <w:pPr>
        <w:pStyle w:val="NormalWeb"/>
        <w:numPr>
          <w:ilvl w:val="0"/>
          <w:numId w:val="19"/>
        </w:numPr>
        <w:shd w:val="clear" w:color="auto" w:fill="FFFFFF"/>
        <w:spacing w:before="0" w:beforeAutospacing="0" w:after="0" w:afterAutospacing="0"/>
        <w:ind w:left="684"/>
        <w:textAlignment w:val="baseline"/>
        <w:rPr>
          <w:rFonts w:ascii="Source Sans Pro" w:hAnsi="Source Sans Pro"/>
          <w:color w:val="000000"/>
          <w:spacing w:val="-2"/>
        </w:rPr>
      </w:pPr>
      <w:hyperlink r:id="rId30" w:history="1">
        <w:r w:rsidR="00304C6A">
          <w:rPr>
            <w:rStyle w:val="Hyperkobling"/>
            <w:rFonts w:ascii="Source Sans Pro" w:hAnsi="Source Sans Pro"/>
            <w:color w:val="347E84"/>
            <w:spacing w:val="-2"/>
            <w:bdr w:val="none" w:sz="0" w:space="0" w:color="auto" w:frame="1"/>
          </w:rPr>
          <w:t xml:space="preserve">Direktoratet for </w:t>
        </w:r>
        <w:proofErr w:type="spellStart"/>
        <w:r w:rsidR="00304C6A">
          <w:rPr>
            <w:rStyle w:val="Hyperkobling"/>
            <w:rFonts w:ascii="Source Sans Pro" w:hAnsi="Source Sans Pro"/>
            <w:color w:val="347E84"/>
            <w:spacing w:val="-2"/>
            <w:bdr w:val="none" w:sz="0" w:space="0" w:color="auto" w:frame="1"/>
          </w:rPr>
          <w:t>byggkvalitet</w:t>
        </w:r>
        <w:proofErr w:type="spellEnd"/>
      </w:hyperlink>
    </w:p>
    <w:p w:rsidR="00304C6A" w:rsidRDefault="00B15867" w:rsidP="00304C6A">
      <w:pPr>
        <w:pStyle w:val="NormalWeb"/>
        <w:numPr>
          <w:ilvl w:val="0"/>
          <w:numId w:val="19"/>
        </w:numPr>
        <w:shd w:val="clear" w:color="auto" w:fill="FFFFFF"/>
        <w:spacing w:before="0" w:beforeAutospacing="0" w:after="0" w:afterAutospacing="0"/>
        <w:ind w:left="684"/>
        <w:textAlignment w:val="baseline"/>
        <w:rPr>
          <w:rFonts w:ascii="Source Sans Pro" w:hAnsi="Source Sans Pro"/>
          <w:color w:val="000000"/>
          <w:spacing w:val="-2"/>
        </w:rPr>
      </w:pPr>
      <w:hyperlink r:id="rId31" w:history="1">
        <w:r w:rsidR="00304C6A">
          <w:rPr>
            <w:rStyle w:val="Hyperkobling"/>
            <w:rFonts w:ascii="Source Sans Pro" w:hAnsi="Source Sans Pro"/>
            <w:color w:val="347E84"/>
            <w:spacing w:val="-2"/>
            <w:bdr w:val="none" w:sz="0" w:space="0" w:color="auto" w:frame="1"/>
          </w:rPr>
          <w:t>Norges Handikapforbun</w:t>
        </w:r>
      </w:hyperlink>
      <w:hyperlink r:id="rId32" w:history="1">
        <w:r w:rsidR="00304C6A">
          <w:rPr>
            <w:rStyle w:val="Hyperkobling"/>
            <w:rFonts w:ascii="Source Sans Pro" w:hAnsi="Source Sans Pro"/>
            <w:color w:val="347E84"/>
            <w:spacing w:val="-2"/>
            <w:bdr w:val="none" w:sz="0" w:space="0" w:color="auto" w:frame="1"/>
          </w:rPr>
          <w:t>d og tilgjengelige bygg og uteområder</w:t>
        </w:r>
      </w:hyperlink>
    </w:p>
    <w:p w:rsidR="00304C6A" w:rsidRDefault="00B15867" w:rsidP="00304C6A">
      <w:pPr>
        <w:pStyle w:val="NormalWeb"/>
        <w:numPr>
          <w:ilvl w:val="0"/>
          <w:numId w:val="19"/>
        </w:numPr>
        <w:shd w:val="clear" w:color="auto" w:fill="FFFFFF"/>
        <w:spacing w:before="0" w:beforeAutospacing="0" w:after="0" w:afterAutospacing="0"/>
        <w:ind w:left="684"/>
        <w:textAlignment w:val="baseline"/>
        <w:rPr>
          <w:rFonts w:ascii="Source Sans Pro" w:hAnsi="Source Sans Pro"/>
          <w:color w:val="000000"/>
          <w:spacing w:val="-2"/>
        </w:rPr>
      </w:pPr>
      <w:hyperlink r:id="rId33" w:history="1">
        <w:r w:rsidR="00304C6A">
          <w:rPr>
            <w:rStyle w:val="Hyperkobling"/>
            <w:rFonts w:ascii="Source Sans Pro" w:hAnsi="Source Sans Pro"/>
            <w:color w:val="347E84"/>
            <w:spacing w:val="-2"/>
            <w:bdr w:val="none" w:sz="0" w:space="0" w:color="auto" w:frame="1"/>
          </w:rPr>
          <w:t>Norges Blindeforbund og universell utforming</w:t>
        </w:r>
      </w:hyperlink>
    </w:p>
    <w:p w:rsidR="00304C6A" w:rsidRDefault="00B15867" w:rsidP="00304C6A">
      <w:pPr>
        <w:pStyle w:val="NormalWeb"/>
        <w:numPr>
          <w:ilvl w:val="0"/>
          <w:numId w:val="19"/>
        </w:numPr>
        <w:shd w:val="clear" w:color="auto" w:fill="FFFFFF"/>
        <w:spacing w:before="0" w:beforeAutospacing="0" w:after="0" w:afterAutospacing="0"/>
        <w:ind w:left="684"/>
        <w:textAlignment w:val="baseline"/>
        <w:rPr>
          <w:rFonts w:ascii="Source Sans Pro" w:hAnsi="Source Sans Pro"/>
          <w:color w:val="000000"/>
          <w:spacing w:val="-2"/>
        </w:rPr>
      </w:pPr>
      <w:hyperlink r:id="rId34" w:history="1">
        <w:r w:rsidR="00304C6A">
          <w:rPr>
            <w:rStyle w:val="Hyperkobling"/>
            <w:rFonts w:ascii="Source Sans Pro" w:hAnsi="Source Sans Pro"/>
            <w:color w:val="347E84"/>
            <w:spacing w:val="-2"/>
            <w:bdr w:val="none" w:sz="0" w:space="0" w:color="auto" w:frame="1"/>
          </w:rPr>
          <w:t>Hørselshemmedes Landsforbund</w:t>
        </w:r>
      </w:hyperlink>
    </w:p>
    <w:p w:rsidR="00304C6A" w:rsidRPr="00B21959" w:rsidRDefault="00304C6A" w:rsidP="00B21959">
      <w:pPr>
        <w:shd w:val="clear" w:color="auto" w:fill="FFFFFF"/>
        <w:spacing w:before="150" w:after="375"/>
        <w:textAlignment w:val="baseline"/>
        <w:rPr>
          <w:rFonts w:ascii="Source Sans Pro" w:eastAsia="Times New Roman" w:hAnsi="Source Sans Pro" w:cs="Times New Roman"/>
          <w:color w:val="000000"/>
          <w:spacing w:val="-2"/>
          <w:lang w:eastAsia="nb-NO"/>
        </w:rPr>
      </w:pPr>
    </w:p>
    <w:p w:rsidR="00B21959" w:rsidRDefault="00B21959"/>
    <w:sectPr w:rsidR="00B21959" w:rsidSect="007C04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BE8"/>
    <w:multiLevelType w:val="multilevel"/>
    <w:tmpl w:val="A360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49D2"/>
    <w:multiLevelType w:val="multilevel"/>
    <w:tmpl w:val="62CA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21D84"/>
    <w:multiLevelType w:val="multilevel"/>
    <w:tmpl w:val="212C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C56BA"/>
    <w:multiLevelType w:val="multilevel"/>
    <w:tmpl w:val="F0BE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85171"/>
    <w:multiLevelType w:val="multilevel"/>
    <w:tmpl w:val="524C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66B54"/>
    <w:multiLevelType w:val="multilevel"/>
    <w:tmpl w:val="A4DA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5451F"/>
    <w:multiLevelType w:val="multilevel"/>
    <w:tmpl w:val="F25A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A7AD2"/>
    <w:multiLevelType w:val="multilevel"/>
    <w:tmpl w:val="2C8C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5D02C4"/>
    <w:multiLevelType w:val="multilevel"/>
    <w:tmpl w:val="8E0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303AA"/>
    <w:multiLevelType w:val="multilevel"/>
    <w:tmpl w:val="6B2E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73FA7"/>
    <w:multiLevelType w:val="multilevel"/>
    <w:tmpl w:val="57D6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A6E52"/>
    <w:multiLevelType w:val="multilevel"/>
    <w:tmpl w:val="0542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116CA"/>
    <w:multiLevelType w:val="multilevel"/>
    <w:tmpl w:val="D0DA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45A6E"/>
    <w:multiLevelType w:val="multilevel"/>
    <w:tmpl w:val="EF30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0E21AF"/>
    <w:multiLevelType w:val="multilevel"/>
    <w:tmpl w:val="F48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DA64C8"/>
    <w:multiLevelType w:val="multilevel"/>
    <w:tmpl w:val="0F0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91E84"/>
    <w:multiLevelType w:val="multilevel"/>
    <w:tmpl w:val="BA9E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2C504F"/>
    <w:multiLevelType w:val="multilevel"/>
    <w:tmpl w:val="7286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D35B11"/>
    <w:multiLevelType w:val="multilevel"/>
    <w:tmpl w:val="B816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4"/>
  </w:num>
  <w:num w:numId="4">
    <w:abstractNumId w:val="7"/>
  </w:num>
  <w:num w:numId="5">
    <w:abstractNumId w:val="17"/>
  </w:num>
  <w:num w:numId="6">
    <w:abstractNumId w:val="11"/>
  </w:num>
  <w:num w:numId="7">
    <w:abstractNumId w:val="10"/>
  </w:num>
  <w:num w:numId="8">
    <w:abstractNumId w:val="9"/>
  </w:num>
  <w:num w:numId="9">
    <w:abstractNumId w:val="6"/>
  </w:num>
  <w:num w:numId="10">
    <w:abstractNumId w:val="13"/>
  </w:num>
  <w:num w:numId="11">
    <w:abstractNumId w:val="15"/>
  </w:num>
  <w:num w:numId="12">
    <w:abstractNumId w:val="18"/>
  </w:num>
  <w:num w:numId="13">
    <w:abstractNumId w:val="12"/>
  </w:num>
  <w:num w:numId="14">
    <w:abstractNumId w:val="5"/>
  </w:num>
  <w:num w:numId="15">
    <w:abstractNumId w:val="2"/>
  </w:num>
  <w:num w:numId="16">
    <w:abstractNumId w:val="8"/>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05"/>
    <w:rsid w:val="00073005"/>
    <w:rsid w:val="002764BC"/>
    <w:rsid w:val="00304C6A"/>
    <w:rsid w:val="00440724"/>
    <w:rsid w:val="007C0410"/>
    <w:rsid w:val="009F532D"/>
    <w:rsid w:val="00B15867"/>
    <w:rsid w:val="00B21959"/>
    <w:rsid w:val="00B34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20D1"/>
  <w15:chartTrackingRefBased/>
  <w15:docId w15:val="{5A40E9DC-8046-0A41-8625-7DBC6D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73005"/>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4407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73005"/>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B21959"/>
    <w:rPr>
      <w:color w:val="0000FF"/>
      <w:u w:val="single"/>
    </w:rPr>
  </w:style>
  <w:style w:type="paragraph" w:styleId="NormalWeb">
    <w:name w:val="Normal (Web)"/>
    <w:basedOn w:val="Normal"/>
    <w:uiPriority w:val="99"/>
    <w:semiHidden/>
    <w:unhideWhenUsed/>
    <w:rsid w:val="00B21959"/>
    <w:pPr>
      <w:spacing w:before="100" w:beforeAutospacing="1" w:after="100" w:afterAutospacing="1"/>
    </w:pPr>
    <w:rPr>
      <w:rFonts w:ascii="Times New Roman" w:eastAsia="Times New Roman" w:hAnsi="Times New Roman" w:cs="Times New Roman"/>
      <w:lang w:eastAsia="nb-NO"/>
    </w:rPr>
  </w:style>
  <w:style w:type="character" w:customStyle="1" w:styleId="Overskrift2Tegn">
    <w:name w:val="Overskrift 2 Tegn"/>
    <w:basedOn w:val="Standardskriftforavsnitt"/>
    <w:link w:val="Overskrift2"/>
    <w:uiPriority w:val="9"/>
    <w:rsid w:val="00440724"/>
    <w:rPr>
      <w:rFonts w:asciiTheme="majorHAnsi" w:eastAsiaTheme="majorEastAsia" w:hAnsiTheme="majorHAnsi" w:cstheme="majorBidi"/>
      <w:color w:val="2F5496" w:themeColor="accent1" w:themeShade="BF"/>
      <w:sz w:val="26"/>
      <w:szCs w:val="26"/>
    </w:rPr>
  </w:style>
  <w:style w:type="character" w:styleId="Sterk">
    <w:name w:val="Strong"/>
    <w:basedOn w:val="Standardskriftforavsnitt"/>
    <w:uiPriority w:val="22"/>
    <w:qFormat/>
    <w:rsid w:val="00440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084">
      <w:bodyDiv w:val="1"/>
      <w:marLeft w:val="0"/>
      <w:marRight w:val="0"/>
      <w:marTop w:val="0"/>
      <w:marBottom w:val="0"/>
      <w:divBdr>
        <w:top w:val="none" w:sz="0" w:space="0" w:color="auto"/>
        <w:left w:val="none" w:sz="0" w:space="0" w:color="auto"/>
        <w:bottom w:val="none" w:sz="0" w:space="0" w:color="auto"/>
        <w:right w:val="none" w:sz="0" w:space="0" w:color="auto"/>
      </w:divBdr>
      <w:divsChild>
        <w:div w:id="1158886967">
          <w:marLeft w:val="0"/>
          <w:marRight w:val="0"/>
          <w:marTop w:val="0"/>
          <w:marBottom w:val="0"/>
          <w:divBdr>
            <w:top w:val="single" w:sz="2" w:space="12" w:color="E0E9EB"/>
            <w:left w:val="single" w:sz="6" w:space="12" w:color="E0E9EB"/>
            <w:bottom w:val="single" w:sz="2" w:space="8" w:color="E0E9EB"/>
            <w:right w:val="single" w:sz="6" w:space="0" w:color="E0E9EB"/>
          </w:divBdr>
        </w:div>
      </w:divsChild>
    </w:div>
    <w:div w:id="53084651">
      <w:bodyDiv w:val="1"/>
      <w:marLeft w:val="0"/>
      <w:marRight w:val="0"/>
      <w:marTop w:val="0"/>
      <w:marBottom w:val="0"/>
      <w:divBdr>
        <w:top w:val="none" w:sz="0" w:space="0" w:color="auto"/>
        <w:left w:val="none" w:sz="0" w:space="0" w:color="auto"/>
        <w:bottom w:val="none" w:sz="0" w:space="0" w:color="auto"/>
        <w:right w:val="none" w:sz="0" w:space="0" w:color="auto"/>
      </w:divBdr>
      <w:divsChild>
        <w:div w:id="1244603491">
          <w:marLeft w:val="0"/>
          <w:marRight w:val="0"/>
          <w:marTop w:val="0"/>
          <w:marBottom w:val="0"/>
          <w:divBdr>
            <w:top w:val="single" w:sz="2" w:space="12" w:color="E0E9EB"/>
            <w:left w:val="single" w:sz="6" w:space="12" w:color="E0E9EB"/>
            <w:bottom w:val="single" w:sz="2" w:space="8" w:color="E0E9EB"/>
            <w:right w:val="single" w:sz="6" w:space="0" w:color="E0E9EB"/>
          </w:divBdr>
        </w:div>
      </w:divsChild>
    </w:div>
    <w:div w:id="114906720">
      <w:bodyDiv w:val="1"/>
      <w:marLeft w:val="0"/>
      <w:marRight w:val="0"/>
      <w:marTop w:val="0"/>
      <w:marBottom w:val="0"/>
      <w:divBdr>
        <w:top w:val="none" w:sz="0" w:space="0" w:color="auto"/>
        <w:left w:val="none" w:sz="0" w:space="0" w:color="auto"/>
        <w:bottom w:val="none" w:sz="0" w:space="0" w:color="auto"/>
        <w:right w:val="none" w:sz="0" w:space="0" w:color="auto"/>
      </w:divBdr>
      <w:divsChild>
        <w:div w:id="773130631">
          <w:marLeft w:val="0"/>
          <w:marRight w:val="0"/>
          <w:marTop w:val="0"/>
          <w:marBottom w:val="0"/>
          <w:divBdr>
            <w:top w:val="single" w:sz="2" w:space="12" w:color="E0E9EB"/>
            <w:left w:val="single" w:sz="6" w:space="12" w:color="E0E9EB"/>
            <w:bottom w:val="single" w:sz="2" w:space="8" w:color="E0E9EB"/>
            <w:right w:val="single" w:sz="6" w:space="0" w:color="E0E9EB"/>
          </w:divBdr>
        </w:div>
      </w:divsChild>
    </w:div>
    <w:div w:id="115026338">
      <w:bodyDiv w:val="1"/>
      <w:marLeft w:val="0"/>
      <w:marRight w:val="0"/>
      <w:marTop w:val="0"/>
      <w:marBottom w:val="0"/>
      <w:divBdr>
        <w:top w:val="none" w:sz="0" w:space="0" w:color="auto"/>
        <w:left w:val="none" w:sz="0" w:space="0" w:color="auto"/>
        <w:bottom w:val="none" w:sz="0" w:space="0" w:color="auto"/>
        <w:right w:val="none" w:sz="0" w:space="0" w:color="auto"/>
      </w:divBdr>
    </w:div>
    <w:div w:id="277219230">
      <w:bodyDiv w:val="1"/>
      <w:marLeft w:val="0"/>
      <w:marRight w:val="0"/>
      <w:marTop w:val="0"/>
      <w:marBottom w:val="0"/>
      <w:divBdr>
        <w:top w:val="none" w:sz="0" w:space="0" w:color="auto"/>
        <w:left w:val="none" w:sz="0" w:space="0" w:color="auto"/>
        <w:bottom w:val="none" w:sz="0" w:space="0" w:color="auto"/>
        <w:right w:val="none" w:sz="0" w:space="0" w:color="auto"/>
      </w:divBdr>
    </w:div>
    <w:div w:id="786772539">
      <w:bodyDiv w:val="1"/>
      <w:marLeft w:val="0"/>
      <w:marRight w:val="0"/>
      <w:marTop w:val="0"/>
      <w:marBottom w:val="0"/>
      <w:divBdr>
        <w:top w:val="none" w:sz="0" w:space="0" w:color="auto"/>
        <w:left w:val="none" w:sz="0" w:space="0" w:color="auto"/>
        <w:bottom w:val="none" w:sz="0" w:space="0" w:color="auto"/>
        <w:right w:val="none" w:sz="0" w:space="0" w:color="auto"/>
      </w:divBdr>
      <w:divsChild>
        <w:div w:id="794562749">
          <w:marLeft w:val="0"/>
          <w:marRight w:val="0"/>
          <w:marTop w:val="0"/>
          <w:marBottom w:val="0"/>
          <w:divBdr>
            <w:top w:val="single" w:sz="2" w:space="12" w:color="E0E9EB"/>
            <w:left w:val="single" w:sz="6" w:space="12" w:color="E0E9EB"/>
            <w:bottom w:val="single" w:sz="2" w:space="8" w:color="E0E9EB"/>
            <w:right w:val="single" w:sz="6" w:space="0" w:color="E0E9EB"/>
          </w:divBdr>
        </w:div>
      </w:divsChild>
    </w:div>
    <w:div w:id="788627424">
      <w:bodyDiv w:val="1"/>
      <w:marLeft w:val="0"/>
      <w:marRight w:val="0"/>
      <w:marTop w:val="0"/>
      <w:marBottom w:val="0"/>
      <w:divBdr>
        <w:top w:val="none" w:sz="0" w:space="0" w:color="auto"/>
        <w:left w:val="none" w:sz="0" w:space="0" w:color="auto"/>
        <w:bottom w:val="none" w:sz="0" w:space="0" w:color="auto"/>
        <w:right w:val="none" w:sz="0" w:space="0" w:color="auto"/>
      </w:divBdr>
      <w:divsChild>
        <w:div w:id="1434131005">
          <w:marLeft w:val="0"/>
          <w:marRight w:val="0"/>
          <w:marTop w:val="0"/>
          <w:marBottom w:val="0"/>
          <w:divBdr>
            <w:top w:val="single" w:sz="2" w:space="12" w:color="E0E9EB"/>
            <w:left w:val="single" w:sz="6" w:space="12" w:color="E0E9EB"/>
            <w:bottom w:val="single" w:sz="6" w:space="8" w:color="E0E9EB"/>
            <w:right w:val="single" w:sz="6" w:space="0" w:color="E0E9EB"/>
          </w:divBdr>
        </w:div>
      </w:divsChild>
    </w:div>
    <w:div w:id="1051349557">
      <w:bodyDiv w:val="1"/>
      <w:marLeft w:val="0"/>
      <w:marRight w:val="0"/>
      <w:marTop w:val="0"/>
      <w:marBottom w:val="0"/>
      <w:divBdr>
        <w:top w:val="none" w:sz="0" w:space="0" w:color="auto"/>
        <w:left w:val="none" w:sz="0" w:space="0" w:color="auto"/>
        <w:bottom w:val="none" w:sz="0" w:space="0" w:color="auto"/>
        <w:right w:val="none" w:sz="0" w:space="0" w:color="auto"/>
      </w:divBdr>
      <w:divsChild>
        <w:div w:id="371271264">
          <w:marLeft w:val="0"/>
          <w:marRight w:val="0"/>
          <w:marTop w:val="0"/>
          <w:marBottom w:val="0"/>
          <w:divBdr>
            <w:top w:val="single" w:sz="2" w:space="12" w:color="E0E9EB"/>
            <w:left w:val="single" w:sz="6" w:space="12" w:color="E0E9EB"/>
            <w:bottom w:val="single" w:sz="6" w:space="8" w:color="E0E9EB"/>
            <w:right w:val="single" w:sz="6" w:space="0" w:color="E0E9EB"/>
          </w:divBdr>
        </w:div>
      </w:divsChild>
    </w:div>
    <w:div w:id="1079670103">
      <w:bodyDiv w:val="1"/>
      <w:marLeft w:val="0"/>
      <w:marRight w:val="0"/>
      <w:marTop w:val="0"/>
      <w:marBottom w:val="0"/>
      <w:divBdr>
        <w:top w:val="none" w:sz="0" w:space="0" w:color="auto"/>
        <w:left w:val="none" w:sz="0" w:space="0" w:color="auto"/>
        <w:bottom w:val="none" w:sz="0" w:space="0" w:color="auto"/>
        <w:right w:val="none" w:sz="0" w:space="0" w:color="auto"/>
      </w:divBdr>
      <w:divsChild>
        <w:div w:id="1753618615">
          <w:marLeft w:val="0"/>
          <w:marRight w:val="0"/>
          <w:marTop w:val="0"/>
          <w:marBottom w:val="0"/>
          <w:divBdr>
            <w:top w:val="single" w:sz="2" w:space="12" w:color="E0E9EB"/>
            <w:left w:val="single" w:sz="6" w:space="12" w:color="E0E9EB"/>
            <w:bottom w:val="single" w:sz="6" w:space="8" w:color="E0E9EB"/>
            <w:right w:val="single" w:sz="6" w:space="0" w:color="E0E9EB"/>
          </w:divBdr>
        </w:div>
      </w:divsChild>
    </w:div>
    <w:div w:id="1108239491">
      <w:bodyDiv w:val="1"/>
      <w:marLeft w:val="0"/>
      <w:marRight w:val="0"/>
      <w:marTop w:val="0"/>
      <w:marBottom w:val="0"/>
      <w:divBdr>
        <w:top w:val="none" w:sz="0" w:space="0" w:color="auto"/>
        <w:left w:val="none" w:sz="0" w:space="0" w:color="auto"/>
        <w:bottom w:val="none" w:sz="0" w:space="0" w:color="auto"/>
        <w:right w:val="none" w:sz="0" w:space="0" w:color="auto"/>
      </w:divBdr>
    </w:div>
    <w:div w:id="1184125889">
      <w:bodyDiv w:val="1"/>
      <w:marLeft w:val="0"/>
      <w:marRight w:val="0"/>
      <w:marTop w:val="0"/>
      <w:marBottom w:val="0"/>
      <w:divBdr>
        <w:top w:val="none" w:sz="0" w:space="0" w:color="auto"/>
        <w:left w:val="none" w:sz="0" w:space="0" w:color="auto"/>
        <w:bottom w:val="none" w:sz="0" w:space="0" w:color="auto"/>
        <w:right w:val="none" w:sz="0" w:space="0" w:color="auto"/>
      </w:divBdr>
    </w:div>
    <w:div w:id="1230112539">
      <w:bodyDiv w:val="1"/>
      <w:marLeft w:val="0"/>
      <w:marRight w:val="0"/>
      <w:marTop w:val="0"/>
      <w:marBottom w:val="0"/>
      <w:divBdr>
        <w:top w:val="none" w:sz="0" w:space="0" w:color="auto"/>
        <w:left w:val="none" w:sz="0" w:space="0" w:color="auto"/>
        <w:bottom w:val="none" w:sz="0" w:space="0" w:color="auto"/>
        <w:right w:val="none" w:sz="0" w:space="0" w:color="auto"/>
      </w:divBdr>
      <w:divsChild>
        <w:div w:id="110325349">
          <w:marLeft w:val="0"/>
          <w:marRight w:val="0"/>
          <w:marTop w:val="0"/>
          <w:marBottom w:val="0"/>
          <w:divBdr>
            <w:top w:val="single" w:sz="2" w:space="12" w:color="E0E9EB"/>
            <w:left w:val="single" w:sz="6" w:space="12" w:color="E0E9EB"/>
            <w:bottom w:val="single" w:sz="2" w:space="8" w:color="E0E9EB"/>
            <w:right w:val="single" w:sz="6" w:space="0" w:color="E0E9EB"/>
          </w:divBdr>
        </w:div>
      </w:divsChild>
    </w:div>
    <w:div w:id="1268074701">
      <w:bodyDiv w:val="1"/>
      <w:marLeft w:val="0"/>
      <w:marRight w:val="0"/>
      <w:marTop w:val="0"/>
      <w:marBottom w:val="0"/>
      <w:divBdr>
        <w:top w:val="none" w:sz="0" w:space="0" w:color="auto"/>
        <w:left w:val="none" w:sz="0" w:space="0" w:color="auto"/>
        <w:bottom w:val="none" w:sz="0" w:space="0" w:color="auto"/>
        <w:right w:val="none" w:sz="0" w:space="0" w:color="auto"/>
      </w:divBdr>
      <w:divsChild>
        <w:div w:id="1897280374">
          <w:marLeft w:val="0"/>
          <w:marRight w:val="0"/>
          <w:marTop w:val="0"/>
          <w:marBottom w:val="0"/>
          <w:divBdr>
            <w:top w:val="single" w:sz="2" w:space="12" w:color="E0E9EB"/>
            <w:left w:val="single" w:sz="6" w:space="12" w:color="E0E9EB"/>
            <w:bottom w:val="single" w:sz="2" w:space="8" w:color="E0E9EB"/>
            <w:right w:val="single" w:sz="6" w:space="0" w:color="E0E9EB"/>
          </w:divBdr>
        </w:div>
      </w:divsChild>
    </w:div>
    <w:div w:id="1381519850">
      <w:bodyDiv w:val="1"/>
      <w:marLeft w:val="0"/>
      <w:marRight w:val="0"/>
      <w:marTop w:val="0"/>
      <w:marBottom w:val="0"/>
      <w:divBdr>
        <w:top w:val="none" w:sz="0" w:space="0" w:color="auto"/>
        <w:left w:val="none" w:sz="0" w:space="0" w:color="auto"/>
        <w:bottom w:val="none" w:sz="0" w:space="0" w:color="auto"/>
        <w:right w:val="none" w:sz="0" w:space="0" w:color="auto"/>
      </w:divBdr>
      <w:divsChild>
        <w:div w:id="1991976941">
          <w:marLeft w:val="0"/>
          <w:marRight w:val="0"/>
          <w:marTop w:val="0"/>
          <w:marBottom w:val="0"/>
          <w:divBdr>
            <w:top w:val="single" w:sz="2" w:space="12" w:color="E0E9EB"/>
            <w:left w:val="single" w:sz="6" w:space="12" w:color="E0E9EB"/>
            <w:bottom w:val="single" w:sz="2" w:space="8" w:color="E0E9EB"/>
            <w:right w:val="single" w:sz="6" w:space="0" w:color="E0E9EB"/>
          </w:divBdr>
        </w:div>
      </w:divsChild>
    </w:div>
    <w:div w:id="1530603218">
      <w:bodyDiv w:val="1"/>
      <w:marLeft w:val="0"/>
      <w:marRight w:val="0"/>
      <w:marTop w:val="0"/>
      <w:marBottom w:val="0"/>
      <w:divBdr>
        <w:top w:val="none" w:sz="0" w:space="0" w:color="auto"/>
        <w:left w:val="none" w:sz="0" w:space="0" w:color="auto"/>
        <w:bottom w:val="none" w:sz="0" w:space="0" w:color="auto"/>
        <w:right w:val="none" w:sz="0" w:space="0" w:color="auto"/>
      </w:divBdr>
    </w:div>
    <w:div w:id="1547913042">
      <w:bodyDiv w:val="1"/>
      <w:marLeft w:val="0"/>
      <w:marRight w:val="0"/>
      <w:marTop w:val="0"/>
      <w:marBottom w:val="0"/>
      <w:divBdr>
        <w:top w:val="none" w:sz="0" w:space="0" w:color="auto"/>
        <w:left w:val="none" w:sz="0" w:space="0" w:color="auto"/>
        <w:bottom w:val="none" w:sz="0" w:space="0" w:color="auto"/>
        <w:right w:val="none" w:sz="0" w:space="0" w:color="auto"/>
      </w:divBdr>
      <w:divsChild>
        <w:div w:id="843713693">
          <w:marLeft w:val="0"/>
          <w:marRight w:val="0"/>
          <w:marTop w:val="0"/>
          <w:marBottom w:val="0"/>
          <w:divBdr>
            <w:top w:val="single" w:sz="2" w:space="12" w:color="E0E9EB"/>
            <w:left w:val="single" w:sz="6" w:space="12" w:color="E0E9EB"/>
            <w:bottom w:val="single" w:sz="2" w:space="8" w:color="E0E9EB"/>
            <w:right w:val="single" w:sz="6" w:space="0" w:color="E0E9EB"/>
          </w:divBdr>
        </w:div>
      </w:divsChild>
    </w:div>
    <w:div w:id="1670786584">
      <w:bodyDiv w:val="1"/>
      <w:marLeft w:val="0"/>
      <w:marRight w:val="0"/>
      <w:marTop w:val="0"/>
      <w:marBottom w:val="0"/>
      <w:divBdr>
        <w:top w:val="none" w:sz="0" w:space="0" w:color="auto"/>
        <w:left w:val="none" w:sz="0" w:space="0" w:color="auto"/>
        <w:bottom w:val="none" w:sz="0" w:space="0" w:color="auto"/>
        <w:right w:val="none" w:sz="0" w:space="0" w:color="auto"/>
      </w:divBdr>
      <w:divsChild>
        <w:div w:id="1664042442">
          <w:marLeft w:val="0"/>
          <w:marRight w:val="0"/>
          <w:marTop w:val="0"/>
          <w:marBottom w:val="0"/>
          <w:divBdr>
            <w:top w:val="single" w:sz="2" w:space="12" w:color="E0E9EB"/>
            <w:left w:val="single" w:sz="6" w:space="12" w:color="E0E9EB"/>
            <w:bottom w:val="single" w:sz="2" w:space="8" w:color="E0E9EB"/>
            <w:right w:val="single" w:sz="6" w:space="0" w:color="E0E9EB"/>
          </w:divBdr>
        </w:div>
      </w:divsChild>
    </w:div>
    <w:div w:id="1693913363">
      <w:bodyDiv w:val="1"/>
      <w:marLeft w:val="0"/>
      <w:marRight w:val="0"/>
      <w:marTop w:val="0"/>
      <w:marBottom w:val="0"/>
      <w:divBdr>
        <w:top w:val="none" w:sz="0" w:space="0" w:color="auto"/>
        <w:left w:val="none" w:sz="0" w:space="0" w:color="auto"/>
        <w:bottom w:val="none" w:sz="0" w:space="0" w:color="auto"/>
        <w:right w:val="none" w:sz="0" w:space="0" w:color="auto"/>
      </w:divBdr>
      <w:divsChild>
        <w:div w:id="1205412258">
          <w:marLeft w:val="0"/>
          <w:marRight w:val="0"/>
          <w:marTop w:val="0"/>
          <w:marBottom w:val="0"/>
          <w:divBdr>
            <w:top w:val="none" w:sz="0" w:space="0" w:color="auto"/>
            <w:left w:val="none" w:sz="0" w:space="0" w:color="auto"/>
            <w:bottom w:val="none" w:sz="0" w:space="0" w:color="auto"/>
            <w:right w:val="none" w:sz="0" w:space="0" w:color="auto"/>
          </w:divBdr>
        </w:div>
      </w:divsChild>
    </w:div>
    <w:div w:id="1856185341">
      <w:bodyDiv w:val="1"/>
      <w:marLeft w:val="0"/>
      <w:marRight w:val="0"/>
      <w:marTop w:val="0"/>
      <w:marBottom w:val="0"/>
      <w:divBdr>
        <w:top w:val="none" w:sz="0" w:space="0" w:color="auto"/>
        <w:left w:val="none" w:sz="0" w:space="0" w:color="auto"/>
        <w:bottom w:val="none" w:sz="0" w:space="0" w:color="auto"/>
        <w:right w:val="none" w:sz="0" w:space="0" w:color="auto"/>
      </w:divBdr>
    </w:div>
    <w:div w:id="1922061388">
      <w:bodyDiv w:val="1"/>
      <w:marLeft w:val="0"/>
      <w:marRight w:val="0"/>
      <w:marTop w:val="0"/>
      <w:marBottom w:val="0"/>
      <w:divBdr>
        <w:top w:val="none" w:sz="0" w:space="0" w:color="auto"/>
        <w:left w:val="none" w:sz="0" w:space="0" w:color="auto"/>
        <w:bottom w:val="none" w:sz="0" w:space="0" w:color="auto"/>
        <w:right w:val="none" w:sz="0" w:space="0" w:color="auto"/>
      </w:divBdr>
      <w:divsChild>
        <w:div w:id="1620524469">
          <w:marLeft w:val="0"/>
          <w:marRight w:val="0"/>
          <w:marTop w:val="0"/>
          <w:marBottom w:val="0"/>
          <w:divBdr>
            <w:top w:val="single" w:sz="2" w:space="12" w:color="E0E9EB"/>
            <w:left w:val="single" w:sz="6" w:space="12" w:color="E0E9EB"/>
            <w:bottom w:val="single" w:sz="2" w:space="8" w:color="E0E9EB"/>
            <w:right w:val="single" w:sz="6" w:space="0" w:color="E0E9EB"/>
          </w:divBdr>
        </w:div>
      </w:divsChild>
    </w:div>
    <w:div w:id="1942562869">
      <w:bodyDiv w:val="1"/>
      <w:marLeft w:val="0"/>
      <w:marRight w:val="0"/>
      <w:marTop w:val="0"/>
      <w:marBottom w:val="0"/>
      <w:divBdr>
        <w:top w:val="none" w:sz="0" w:space="0" w:color="auto"/>
        <w:left w:val="none" w:sz="0" w:space="0" w:color="auto"/>
        <w:bottom w:val="none" w:sz="0" w:space="0" w:color="auto"/>
        <w:right w:val="none" w:sz="0" w:space="0" w:color="auto"/>
      </w:divBdr>
      <w:divsChild>
        <w:div w:id="342980526">
          <w:marLeft w:val="0"/>
          <w:marRight w:val="0"/>
          <w:marTop w:val="0"/>
          <w:marBottom w:val="0"/>
          <w:divBdr>
            <w:top w:val="single" w:sz="2" w:space="12" w:color="E0E9EB"/>
            <w:left w:val="single" w:sz="6" w:space="12" w:color="E0E9EB"/>
            <w:bottom w:val="single" w:sz="6" w:space="8" w:color="E0E9EB"/>
            <w:right w:val="single" w:sz="6" w:space="0" w:color="E0E9EB"/>
          </w:divBdr>
        </w:div>
      </w:divsChild>
    </w:div>
    <w:div w:id="1947425923">
      <w:bodyDiv w:val="1"/>
      <w:marLeft w:val="0"/>
      <w:marRight w:val="0"/>
      <w:marTop w:val="0"/>
      <w:marBottom w:val="0"/>
      <w:divBdr>
        <w:top w:val="none" w:sz="0" w:space="0" w:color="auto"/>
        <w:left w:val="none" w:sz="0" w:space="0" w:color="auto"/>
        <w:bottom w:val="none" w:sz="0" w:space="0" w:color="auto"/>
        <w:right w:val="none" w:sz="0" w:space="0" w:color="auto"/>
      </w:divBdr>
      <w:divsChild>
        <w:div w:id="411197883">
          <w:marLeft w:val="0"/>
          <w:marRight w:val="0"/>
          <w:marTop w:val="0"/>
          <w:marBottom w:val="0"/>
          <w:divBdr>
            <w:top w:val="single" w:sz="2" w:space="12" w:color="E0E9EB"/>
            <w:left w:val="single" w:sz="6" w:space="12" w:color="E0E9EB"/>
            <w:bottom w:val="single" w:sz="2" w:space="8" w:color="E0E9EB"/>
            <w:right w:val="single" w:sz="6" w:space="0" w:color="E0E9EB"/>
          </w:divBdr>
        </w:div>
      </w:divsChild>
    </w:div>
    <w:div w:id="1949238829">
      <w:bodyDiv w:val="1"/>
      <w:marLeft w:val="0"/>
      <w:marRight w:val="0"/>
      <w:marTop w:val="0"/>
      <w:marBottom w:val="0"/>
      <w:divBdr>
        <w:top w:val="none" w:sz="0" w:space="0" w:color="auto"/>
        <w:left w:val="none" w:sz="0" w:space="0" w:color="auto"/>
        <w:bottom w:val="none" w:sz="0" w:space="0" w:color="auto"/>
        <w:right w:val="none" w:sz="0" w:space="0" w:color="auto"/>
      </w:divBdr>
      <w:divsChild>
        <w:div w:id="384453964">
          <w:marLeft w:val="0"/>
          <w:marRight w:val="0"/>
          <w:marTop w:val="0"/>
          <w:marBottom w:val="0"/>
          <w:divBdr>
            <w:top w:val="single" w:sz="2" w:space="12" w:color="E0E9EB"/>
            <w:left w:val="single" w:sz="6" w:space="12" w:color="E0E9EB"/>
            <w:bottom w:val="single" w:sz="6" w:space="8" w:color="E0E9EB"/>
            <w:right w:val="single" w:sz="6" w:space="0" w:color="E0E9EB"/>
          </w:divBdr>
        </w:div>
      </w:divsChild>
    </w:div>
    <w:div w:id="1969700659">
      <w:bodyDiv w:val="1"/>
      <w:marLeft w:val="0"/>
      <w:marRight w:val="0"/>
      <w:marTop w:val="0"/>
      <w:marBottom w:val="0"/>
      <w:divBdr>
        <w:top w:val="none" w:sz="0" w:space="0" w:color="auto"/>
        <w:left w:val="none" w:sz="0" w:space="0" w:color="auto"/>
        <w:bottom w:val="none" w:sz="0" w:space="0" w:color="auto"/>
        <w:right w:val="none" w:sz="0" w:space="0" w:color="auto"/>
      </w:divBdr>
    </w:div>
    <w:div w:id="20092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SF/forskrift/2017-06-19-840?q=TEK17" TargetMode="External"/><Relationship Id="rId18" Type="http://schemas.openxmlformats.org/officeDocument/2006/relationships/hyperlink" Target="https://www.difi.no/fagomrader-og-tjenester/digitalisering-og-samordning/standarder/standarder/wcag-20-web-content-accessibility-guidelines" TargetMode="External"/><Relationship Id="rId26" Type="http://schemas.openxmlformats.org/officeDocument/2006/relationships/hyperlink" Target="https://www.universell.no/fagomraader/universell-utforming/" TargetMode="External"/><Relationship Id="rId3" Type="http://schemas.openxmlformats.org/officeDocument/2006/relationships/settings" Target="settings.xml"/><Relationship Id="rId21" Type="http://schemas.openxmlformats.org/officeDocument/2006/relationships/hyperlink" Target="http://www.vegvesen.no/_attachment/759145/binary/1012502?fast_title=Arkitektoniske+virkemidler+for+orientering+og+veifinning.pdf" TargetMode="External"/><Relationship Id="rId34" Type="http://schemas.openxmlformats.org/officeDocument/2006/relationships/hyperlink" Target="https://www.hlf.no/hva-vi-jobber-med/universell-utforming/?_t_id=1B2M2Y8AsgTpgAmY7PhCfg%3d%3d&amp;_t_q=universell+utforming&amp;_t_tags=language%3ano%2csiteid%3a5e5a0c5e-602a-4a36-b1a2-056541a30f2f&amp;_t_ip=10.2.0.40&amp;_t_hit.id=HLF_Internet_Models_Pages_TopicPage/_db058ba1-94a7-49e8-98ca-7862d48a6755_no&amp;_t_hit.pos=1" TargetMode="External"/><Relationship Id="rId7" Type="http://schemas.openxmlformats.org/officeDocument/2006/relationships/hyperlink" Target="https://www.hiof.no/om/hms/helse/handlingsplan-uu/handlingsplan-for-studenter-med-nedsatt-funksjonsevne-2014.pdf" TargetMode="External"/><Relationship Id="rId12" Type="http://schemas.openxmlformats.org/officeDocument/2006/relationships/hyperlink" Target="https://lovdata.no/dokument/NL/lov/2008-06-27-71" TargetMode="External"/><Relationship Id="rId17" Type="http://schemas.openxmlformats.org/officeDocument/2006/relationships/hyperlink" Target="https://www.byggforalle.no/" TargetMode="External"/><Relationship Id="rId25" Type="http://schemas.openxmlformats.org/officeDocument/2006/relationships/hyperlink" Target="https://www.byggforalle.no/" TargetMode="External"/><Relationship Id="rId33" Type="http://schemas.openxmlformats.org/officeDocument/2006/relationships/hyperlink" Target="https://www.blindeforbundet.no/universell-utforming" TargetMode="External"/><Relationship Id="rId2" Type="http://schemas.openxmlformats.org/officeDocument/2006/relationships/styles" Target="styles.xml"/><Relationship Id="rId16" Type="http://schemas.openxmlformats.org/officeDocument/2006/relationships/hyperlink" Target="https://www.regjeringen.no/no/dokumenter/horingsnotat-nye-krav-til-universell-utforming-av-nettsteder-og-mobilapplikasjoner-for-offentlige-og-private-virksomheter/id2662478/sec1" TargetMode="External"/><Relationship Id="rId20" Type="http://schemas.openxmlformats.org/officeDocument/2006/relationships/hyperlink" Target="https://www.regjeringen.no/no/dokumenter/horingsnotat-nye-krav-til-universell-utforming-av-nettsteder-og-mobilapplikasjoner-for-offentlige-og-private-virksomheter/id2662478/sec1" TargetMode="External"/><Relationship Id="rId29" Type="http://schemas.openxmlformats.org/officeDocument/2006/relationships/hyperlink" Target="https://www.standard.no/" TargetMode="External"/><Relationship Id="rId1" Type="http://schemas.openxmlformats.org/officeDocument/2006/relationships/numbering" Target="numbering.xml"/><Relationship Id="rId6" Type="http://schemas.openxmlformats.org/officeDocument/2006/relationships/hyperlink" Target="https://www.hiof.no/om/hms/helse/handlingsplan-uu/mandat-revisjon-handlingsplan-universell-utforming.pdf" TargetMode="External"/><Relationship Id="rId11" Type="http://schemas.openxmlformats.org/officeDocument/2006/relationships/hyperlink" Target="https://lovdata.no/dokument/NL/lov/2008-06-27-71" TargetMode="External"/><Relationship Id="rId24" Type="http://schemas.openxmlformats.org/officeDocument/2006/relationships/hyperlink" Target="https://www.statsbygg.no/files/samfunnsansvar/uu/handlingsplanUU-2017-2021.pdf" TargetMode="External"/><Relationship Id="rId32" Type="http://schemas.openxmlformats.org/officeDocument/2006/relationships/hyperlink" Target="http://www.nhf.no/bestill-publikasjoner/universell-utforming---fysisk-tilgjengelighet/tilgjengelige-bygg-og-uteomrader" TargetMode="External"/><Relationship Id="rId5" Type="http://schemas.openxmlformats.org/officeDocument/2006/relationships/hyperlink" Target="https://www.hiof.no/studier/tilrettelegging/" TargetMode="External"/><Relationship Id="rId15" Type="http://schemas.openxmlformats.org/officeDocument/2006/relationships/hyperlink" Target="https://www.fn.no/Om-FN/FNs-baerekraftsmaal" TargetMode="External"/><Relationship Id="rId23" Type="http://schemas.openxmlformats.org/officeDocument/2006/relationships/hyperlink" Target="https://www.regjeringen.no/contentassets/b335313065f440f6bd7cc203a8e0ce2d/regjeringens-handlingsplan-for-universell-utforming-2015-2019-1.pdf" TargetMode="External"/><Relationship Id="rId28" Type="http://schemas.openxmlformats.org/officeDocument/2006/relationships/hyperlink" Target="https://www.ldo.no/" TargetMode="External"/><Relationship Id="rId36" Type="http://schemas.openxmlformats.org/officeDocument/2006/relationships/theme" Target="theme/theme1.xml"/><Relationship Id="rId10" Type="http://schemas.openxmlformats.org/officeDocument/2006/relationships/hyperlink" Target="https://lovdata.no/dokument/SF/forskrift/2013-06-21-732" TargetMode="External"/><Relationship Id="rId19" Type="http://schemas.openxmlformats.org/officeDocument/2006/relationships/hyperlink" Target="https://www.difi.no/referansekatalogen/universell-utforming-av-ikt" TargetMode="External"/><Relationship Id="rId31" Type="http://schemas.openxmlformats.org/officeDocument/2006/relationships/hyperlink" Target="http://www.nhf.no/" TargetMode="External"/><Relationship Id="rId4" Type="http://schemas.openxmlformats.org/officeDocument/2006/relationships/webSettings" Target="webSettings.xml"/><Relationship Id="rId9" Type="http://schemas.openxmlformats.org/officeDocument/2006/relationships/hyperlink" Target="https://lovdata.no/dokument/NL/lov/2017-06-16-51" TargetMode="External"/><Relationship Id="rId14" Type="http://schemas.openxmlformats.org/officeDocument/2006/relationships/hyperlink" Target="https://lovdata.no/dokument/NL/lov/2016-06-17-73?q=LOV%20Om%20OFFENTLIGE%20ANSKAFFELSER" TargetMode="External"/><Relationship Id="rId22" Type="http://schemas.openxmlformats.org/officeDocument/2006/relationships/hyperlink" Target="https://uu.difi.no/" TargetMode="External"/><Relationship Id="rId27" Type="http://schemas.openxmlformats.org/officeDocument/2006/relationships/hyperlink" Target="https://uu.difi.no/krav-og-regelverk/wcag-20-standarden" TargetMode="External"/><Relationship Id="rId30" Type="http://schemas.openxmlformats.org/officeDocument/2006/relationships/hyperlink" Target="https://dibk.no/" TargetMode="External"/><Relationship Id="rId35" Type="http://schemas.openxmlformats.org/officeDocument/2006/relationships/fontTable" Target="fontTable.xml"/><Relationship Id="rId8" Type="http://schemas.openxmlformats.org/officeDocument/2006/relationships/hyperlink" Target="https://lovdata.no/dokument/NL/lov/2005-04-01-15?q=h%C3%B8gskolelov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4129</Words>
  <Characters>21884</Characters>
  <Application>Microsoft Office Word</Application>
  <DocSecurity>0</DocSecurity>
  <Lines>182</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Payne</dc:creator>
  <cp:keywords/>
  <dc:description/>
  <cp:lastModifiedBy>Tommy Payne</cp:lastModifiedBy>
  <cp:revision>4</cp:revision>
  <dcterms:created xsi:type="dcterms:W3CDTF">2020-02-26T10:25:00Z</dcterms:created>
  <dcterms:modified xsi:type="dcterms:W3CDTF">2020-02-27T12:11:00Z</dcterms:modified>
</cp:coreProperties>
</file>